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word/header1.xml" ContentType="application/vnd.openxmlformats-officedocument.wordprocessingml.header+xml"/>
  <Override PartName="/word/footer1.xml" ContentType="application/vnd.openxmlformats-officedocument.wordprocessingml.footer+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60"/>
        <w:jc w:val="center"/>
      </w:pPr>
      <w:r>
        <w:drawing>
          <wp:inline xmlns:a="http://schemas.openxmlformats.org/drawingml/2006/main" xmlns:pic="http://schemas.openxmlformats.org/drawingml/2006/picture">
            <wp:extent cx="1600200" cy="1333876"/>
            <wp:docPr id="1" name="Picture 1"/>
            <wp:cNvGraphicFramePr>
              <a:graphicFrameLocks noChangeAspect="1"/>
            </wp:cNvGraphicFramePr>
            <a:graphic>
              <a:graphicData uri="http://schemas.openxmlformats.org/drawingml/2006/picture">
                <pic:pic>
                  <pic:nvPicPr>
                    <pic:cNvPr id="0" name="Waterside_Academy OL (1).png"/>
                    <pic:cNvPicPr/>
                  </pic:nvPicPr>
                  <pic:blipFill>
                    <a:blip r:embed="rId11"/>
                    <a:stretch>
                      <a:fillRect/>
                    </a:stretch>
                  </pic:blipFill>
                  <pic:spPr>
                    <a:xfrm>
                      <a:off x="0" y="0"/>
                      <a:ext cx="1600200" cy="1333876"/>
                    </a:xfrm>
                    <a:prstGeom prst="rect"/>
                  </pic:spPr>
                </pic:pic>
              </a:graphicData>
            </a:graphic>
          </wp:inline>
        </w:drawing>
      </w:r>
    </w:p>
    <w:p>
      <w:pPr>
        <w:spacing w:after="0"/>
        <w:jc w:val="center"/>
      </w:pPr>
      <w:r>
        <w:rPr>
          <w:rFonts w:ascii="Arial" w:hAnsi="Arial"/>
          <w:b/>
          <w:color w:val="76B82A"/>
          <w:sz w:val="26"/>
        </w:rPr>
        <w:t>CURRICULUM</w:t>
      </w:r>
    </w:p>
    <w:p>
      <w:pPr>
        <w:spacing w:after="160"/>
        <w:jc w:val="center"/>
      </w:pPr>
      <w:r>
        <w:rPr>
          <w:rFonts w:ascii="Arial" w:hAnsi="Arial"/>
          <w:b/>
          <w:color w:val="2E2A3A"/>
          <w:sz w:val="60"/>
        </w:rPr>
        <w:t>Policy</w:t>
      </w:r>
    </w:p>
    <w:tbl>
      <w:tblPr>
        <w:tblW w:type="auto" w:w="0"/>
        <w:jc w:val="center"/>
        <w:tblLayout w:type="fixed"/>
        <w:tblLook w:firstColumn="1" w:firstRow="1" w:lastColumn="0" w:lastRow="0" w:noHBand="0" w:noVBand="1" w:val="04A0"/>
      </w:tblPr>
      <w:tblGrid>
        <w:gridCol w:w="4608"/>
      </w:tblGrid>
      <w:tr>
        <w:tc>
          <w:tcPr>
            <w:tcW w:type="dxa" w:w="10282"/>
            <w:shd w:fill="76B82A"/>
            <w:tcMar>
              <w:top w:w="0" w:type="dxa"/>
              <w:start w:w="0" w:type="dxa"/>
              <w:bottom w:w="0" w:type="dxa"/>
              <w:end w:w="0" w:type="dxa"/>
            </w:tcMar>
          </w:tcPr>
          <w:p>
            <w:r/>
          </w:p>
        </w:tc>
      </w:tr>
    </w:tbl>
    <w:p>
      <w:pPr>
        <w:spacing w:after="80"/>
      </w:pPr>
    </w:p>
    <w:tbl>
      <w:tblPr>
        <w:tblW w:type="auto" w:w="0"/>
        <w:jc w:val="center"/>
        <w:tblLayout w:type="fixed"/>
        <w:tblLook w:firstColumn="1" w:firstRow="1" w:lastColumn="0" w:lastRow="0" w:noHBand="0" w:noVBand="1" w:val="04A0"/>
        <w:tblBorders>
          <w:top w:val="single" w:sz="6" w:space="0" w:color="A7A7AF"/>
          <w:left w:val="single" w:sz="6" w:space="0" w:color="A7A7AF"/>
          <w:bottom w:val="single" w:sz="6" w:space="0" w:color="A7A7AF"/>
          <w:right w:val="single" w:sz="6" w:space="0" w:color="A7A7AF"/>
          <w:insideH w:val="single" w:sz="6" w:space="0" w:color="A7A7AF"/>
          <w:insideV w:val="single" w:sz="6" w:space="0" w:color="A7A7AF"/>
        </w:tblBorders>
      </w:tblPr>
      <w:tblGrid>
        <w:gridCol w:w="2664"/>
        <w:gridCol w:w="7272"/>
      </w:tblGrid>
      <w:tr>
        <w:trPr>
          <w:cantSplit/>
        </w:trPr>
        <w:tc>
          <w:tcPr>
            <w:tcW w:type="dxa" w:w="5141"/>
            <w:shd w:fill="2E2A3A"/>
            <w:tcMar>
              <w:top w:w="100" w:type="dxa"/>
              <w:start w:w="120" w:type="dxa"/>
              <w:bottom w:w="100" w:type="dxa"/>
              <w:end w:w="120" w:type="dxa"/>
            </w:tcMar>
            <w:vAlign w:val="center"/>
          </w:tcPr>
          <w:p>
            <w:r>
              <w:rPr>
                <w:b/>
                <w:color w:val="FFFFFF"/>
                <w:sz w:val="18"/>
              </w:rPr>
              <w:t>Policy owner</w:t>
            </w:r>
          </w:p>
        </w:tc>
        <w:tc>
          <w:tcPr>
            <w:tcW w:type="dxa" w:w="5141"/>
            <w:shd w:fill="F6F6F7"/>
            <w:tcMar>
              <w:top w:w="100" w:type="dxa"/>
              <w:start w:w="120" w:type="dxa"/>
              <w:bottom w:w="100" w:type="dxa"/>
              <w:end w:w="120" w:type="dxa"/>
            </w:tcMar>
            <w:vAlign w:val="center"/>
          </w:tcPr>
          <w:p>
            <w:r>
              <w:rPr>
                <w:color w:val="2D2D33"/>
                <w:sz w:val="18"/>
              </w:rPr>
              <w:t>Senior Leadership Team</w:t>
            </w:r>
          </w:p>
        </w:tc>
      </w:tr>
      <w:tr>
        <w:trPr>
          <w:cantSplit/>
        </w:trPr>
        <w:tc>
          <w:tcPr>
            <w:tcW w:type="dxa" w:w="5141"/>
            <w:shd w:fill="2E2A3A"/>
            <w:tcMar>
              <w:top w:w="100" w:type="dxa"/>
              <w:start w:w="120" w:type="dxa"/>
              <w:bottom w:w="100" w:type="dxa"/>
              <w:end w:w="120" w:type="dxa"/>
            </w:tcMar>
            <w:vAlign w:val="center"/>
          </w:tcPr>
          <w:p>
            <w:r>
              <w:rPr>
                <w:b/>
                <w:color w:val="FFFFFF"/>
                <w:sz w:val="18"/>
              </w:rPr>
              <w:t>Applies to</w:t>
            </w:r>
          </w:p>
        </w:tc>
        <w:tc>
          <w:tcPr>
            <w:tcW w:type="dxa" w:w="5141"/>
            <w:shd w:fill="F6F6F7"/>
            <w:tcMar>
              <w:top w:w="100" w:type="dxa"/>
              <w:start w:w="120" w:type="dxa"/>
              <w:bottom w:w="100" w:type="dxa"/>
              <w:end w:w="120" w:type="dxa"/>
            </w:tcMar>
            <w:vAlign w:val="center"/>
          </w:tcPr>
          <w:p>
            <w:r>
              <w:rPr>
                <w:color w:val="2D2D33"/>
                <w:sz w:val="18"/>
              </w:rPr>
              <w:t>All staff involved in curriculum design, delivery and support</w:t>
            </w:r>
          </w:p>
        </w:tc>
      </w:tr>
      <w:tr>
        <w:trPr>
          <w:cantSplit/>
        </w:trPr>
        <w:tc>
          <w:tcPr>
            <w:tcW w:type="dxa" w:w="5141"/>
            <w:shd w:fill="2E2A3A"/>
            <w:tcMar>
              <w:top w:w="100" w:type="dxa"/>
              <w:start w:w="120" w:type="dxa"/>
              <w:bottom w:w="100" w:type="dxa"/>
              <w:end w:w="120" w:type="dxa"/>
            </w:tcMar>
            <w:vAlign w:val="center"/>
          </w:tcPr>
          <w:p>
            <w:r>
              <w:rPr>
                <w:b/>
                <w:color w:val="FFFFFF"/>
                <w:sz w:val="18"/>
              </w:rPr>
              <w:t>Review cycle</w:t>
            </w:r>
          </w:p>
        </w:tc>
        <w:tc>
          <w:tcPr>
            <w:tcW w:type="dxa" w:w="5141"/>
            <w:shd w:fill="F6F6F7"/>
            <w:tcMar>
              <w:top w:w="100" w:type="dxa"/>
              <w:start w:w="120" w:type="dxa"/>
              <w:bottom w:w="100" w:type="dxa"/>
              <w:end w:w="120" w:type="dxa"/>
            </w:tcMar>
            <w:vAlign w:val="center"/>
          </w:tcPr>
          <w:p>
            <w:r>
              <w:rPr>
                <w:color w:val="2D2D33"/>
                <w:sz w:val="18"/>
              </w:rPr>
              <w:t>Annual</w:t>
            </w:r>
          </w:p>
        </w:tc>
      </w:tr>
      <w:tr>
        <w:trPr>
          <w:cantSplit/>
        </w:trPr>
        <w:tc>
          <w:tcPr>
            <w:tcW w:type="dxa" w:w="5141"/>
            <w:shd w:fill="2E2A3A"/>
            <w:tcMar>
              <w:top w:w="100" w:type="dxa"/>
              <w:start w:w="120" w:type="dxa"/>
              <w:bottom w:w="100" w:type="dxa"/>
              <w:end w:w="120" w:type="dxa"/>
            </w:tcMar>
            <w:vAlign w:val="center"/>
          </w:tcPr>
          <w:p>
            <w:r>
              <w:rPr>
                <w:b/>
                <w:color w:val="FFFFFF"/>
                <w:sz w:val="18"/>
              </w:rPr>
              <w:t>Status</w:t>
            </w:r>
          </w:p>
        </w:tc>
        <w:tc>
          <w:tcPr>
            <w:tcW w:type="dxa" w:w="5141"/>
            <w:shd w:fill="F6F6F7"/>
            <w:tcMar>
              <w:top w:w="100" w:type="dxa"/>
              <w:start w:w="120" w:type="dxa"/>
              <w:bottom w:w="100" w:type="dxa"/>
              <w:end w:w="120" w:type="dxa"/>
            </w:tcMar>
            <w:vAlign w:val="center"/>
          </w:tcPr>
          <w:p>
            <w:r>
              <w:rPr>
                <w:color w:val="2D2D33"/>
                <w:sz w:val="18"/>
              </w:rPr>
              <w:t>Internal Curriculum Policy</w:t>
            </w:r>
          </w:p>
        </w:tc>
      </w:tr>
      <w:tr>
        <w:trPr>
          <w:cantSplit/>
        </w:trPr>
        <w:tc>
          <w:tcPr>
            <w:tcW w:type="dxa" w:w="5141"/>
            <w:shd w:fill="2E2A3A"/>
            <w:tcMar>
              <w:top w:w="100" w:type="dxa"/>
              <w:start w:w="120" w:type="dxa"/>
              <w:bottom w:w="100" w:type="dxa"/>
              <w:end w:w="120" w:type="dxa"/>
            </w:tcMar>
            <w:vAlign w:val="center"/>
          </w:tcPr>
          <w:p>
            <w:r>
              <w:rPr>
                <w:b/>
                <w:color w:val="FFFFFF"/>
                <w:sz w:val="18"/>
              </w:rPr>
              <w:t>Academy</w:t>
            </w:r>
          </w:p>
        </w:tc>
        <w:tc>
          <w:tcPr>
            <w:tcW w:type="dxa" w:w="5141"/>
            <w:shd w:fill="F6F6F7"/>
            <w:tcMar>
              <w:top w:w="100" w:type="dxa"/>
              <w:start w:w="120" w:type="dxa"/>
              <w:bottom w:w="100" w:type="dxa"/>
              <w:end w:w="120" w:type="dxa"/>
            </w:tcMar>
            <w:vAlign w:val="center"/>
          </w:tcPr>
          <w:p>
            <w:r>
              <w:rPr>
                <w:color w:val="2D2D33"/>
                <w:sz w:val="18"/>
              </w:rPr>
              <w:t>Waterside Academy</w:t>
            </w:r>
          </w:p>
        </w:tc>
      </w:tr>
    </w:tbl>
    <w:p>
      <w:pPr>
        <w:spacing w:before="360" w:after="40"/>
        <w:jc w:val="center"/>
      </w:pPr>
      <w:r>
        <w:rPr>
          <w:b/>
          <w:color w:val="76B82A"/>
          <w:sz w:val="24"/>
        </w:rPr>
        <w:t>I CAN</w:t>
      </w:r>
    </w:p>
    <w:p>
      <w:pPr>
        <w:spacing w:after="80"/>
        <w:jc w:val="center"/>
      </w:pPr>
      <w:r>
        <w:rPr>
          <w:b/>
          <w:color w:val="2E2A3A"/>
          <w:sz w:val="22"/>
        </w:rPr>
        <w:t>Inclusion  •  Communication  •  Aspiration  •  Nurture</w:t>
      </w:r>
    </w:p>
    <w:p>
      <w:pPr>
        <w:jc w:val="center"/>
      </w:pPr>
      <w:r>
        <w:rPr>
          <w:i/>
          <w:color w:val="6E6E73"/>
          <w:sz w:val="18"/>
        </w:rPr>
        <w:t>A curriculum that reconnects pupils with learning and prepares them for their next step.</w:t>
      </w:r>
    </w:p>
    <w:p>
      <w:r>
        <w:br w:type="page"/>
      </w:r>
    </w:p>
    <w:p>
      <w:pPr>
        <w:pStyle w:val="Heading1"/>
        <w:pBdr>
          <w:bottom w:val="single" w:sz="8" w:space="3" w:color="76B82A"/>
        </w:pBdr>
      </w:pPr>
      <w:r>
        <w:t>1. Purpose</w:t>
      </w:r>
    </w:p>
    <w:p>
      <w:r>
        <w:t>This policy sets out the principles that shape the curriculum at Waterside Academy. It explains how the academy designs, organises, delivers and evaluates a curriculum that is ambitious, broad, coherent and responsive to the needs of pupils in an alternative provision setting. The policy should be read alongside subject curriculum statements, the Teaching and Learning Policy and Practice Framework, assessment arrangements, SEND and safeguarding procedures, and quality assurance systems.</w:t>
      </w:r>
    </w:p>
    <w:p>
      <w:pPr>
        <w:pStyle w:val="Heading1"/>
        <w:pBdr>
          <w:bottom w:val="single" w:sz="8" w:space="3" w:color="76B82A"/>
        </w:pBdr>
      </w:pPr>
      <w:r>
        <w:t>2. Curriculum Vision</w:t>
      </w:r>
    </w:p>
    <w:p>
      <w:pPr>
        <w:pStyle w:val="Heading2"/>
      </w:pPr>
      <w:r>
        <w:t>Our curriculum vision</w:t>
      </w:r>
    </w:p>
    <w:tbl>
      <w:tblPr>
        <w:tblW w:type="auto" w:w="0"/>
        <w:jc w:val="center"/>
        <w:tblLook w:firstColumn="1" w:firstRow="1" w:lastColumn="0" w:lastRow="0" w:noHBand="0" w:noVBand="1" w:val="04A0"/>
      </w:tblPr>
      <w:tblGrid>
        <w:gridCol w:w="10282"/>
      </w:tblGrid>
      <w:tr>
        <w:tc>
          <w:tcPr>
            <w:tcW w:type="dxa" w:w="10282"/>
            <w:shd w:fill="EFF6E7"/>
            <w:tcMar>
              <w:top w:w="120" w:type="dxa"/>
              <w:start w:w="150" w:type="dxa"/>
              <w:bottom w:w="120" w:type="dxa"/>
              <w:end w:w="150" w:type="dxa"/>
            </w:tcMar>
            <w:tcBorders>
              <w:left w:val="single" w:sz="18" w:color="76B82A"/>
            </w:tcBorders>
          </w:tcPr>
          <w:p>
            <w:pPr>
              <w:pStyle w:val="Callout"/>
            </w:pPr>
            <w:r>
              <w:t>Every pupil should leave Waterside with stronger knowledge, greater confidence, recognised achievement and a realistic next step. Our curriculum is designed to re-engage pupils with education without reducing ambition. It combines strong academic foundations with personal development, wider experiences, preparation for adulthood and carefully selected intervention.</w:t>
            </w:r>
          </w:p>
        </w:tc>
      </w:tr>
    </w:tbl>
    <w:p>
      <w:r>
        <w:t>Pupils may arrive at Waterside with different starting points, disrupted educational experiences, gaps in knowledge or low confidence in learning. Our response is not to narrow entitlement. Instead, we identify what each pupil needs in order to participate successfully, build secure foundations and progress towards appropriate qualifications, further education, training or employment.</w:t>
      </w:r>
    </w:p>
    <w:p>
      <w:pPr>
        <w:pStyle w:val="Heading1"/>
        <w:pBdr>
          <w:bottom w:val="single" w:sz="8" w:space="3" w:color="76B82A"/>
        </w:pBdr>
      </w:pPr>
      <w:r>
        <w:t>3. I CAN Values at the Heart of the Curriculum</w:t>
      </w:r>
    </w:p>
    <w:tbl>
      <w:tblPr>
        <w:tblW w:type="auto" w:w="0"/>
        <w:jc w:val="center"/>
        <w:tblLayout w:type="fixed"/>
        <w:tblLook w:firstColumn="1" w:firstRow="1" w:lastColumn="0" w:lastRow="0" w:noHBand="0" w:noVBand="1" w:val="04A0"/>
        <w:tblBorders>
          <w:top w:val="single" w:sz="5" w:space="0" w:color="B7B7BF"/>
          <w:left w:val="single" w:sz="5" w:space="0" w:color="B7B7BF"/>
          <w:bottom w:val="single" w:sz="5" w:space="0" w:color="B7B7BF"/>
          <w:right w:val="single" w:sz="5" w:space="0" w:color="B7B7BF"/>
          <w:insideH w:val="single" w:sz="5" w:space="0" w:color="B7B7BF"/>
          <w:insideV w:val="single" w:sz="5" w:space="0" w:color="B7B7BF"/>
        </w:tblBorders>
      </w:tblPr>
      <w:tblGrid>
        <w:gridCol w:w="1512"/>
        <w:gridCol w:w="3528"/>
        <w:gridCol w:w="5112"/>
      </w:tblGrid>
      <w:tr>
        <w:trPr>
          <w:tblHeader w:val="true"/>
          <w:cantSplit/>
        </w:trPr>
        <w:tc>
          <w:tcPr>
            <w:tcW w:type="dxa" w:w="3427"/>
            <w:shd w:fill="2E2A3A"/>
            <w:tcMar>
              <w:top w:w="90" w:type="dxa"/>
              <w:start w:w="90" w:type="dxa"/>
              <w:bottom w:w="90" w:type="dxa"/>
              <w:end w:w="90" w:type="dxa"/>
            </w:tcMar>
            <w:vAlign w:val="center"/>
          </w:tcPr>
          <w:p>
            <w:r>
              <w:rPr>
                <w:b/>
                <w:color w:val="FFFFFF"/>
                <w:sz w:val="16"/>
              </w:rPr>
              <w:t>Value</w:t>
            </w:r>
          </w:p>
        </w:tc>
        <w:tc>
          <w:tcPr>
            <w:tcW w:type="dxa" w:w="3427"/>
            <w:shd w:fill="2E2A3A"/>
            <w:tcMar>
              <w:top w:w="90" w:type="dxa"/>
              <w:start w:w="90" w:type="dxa"/>
              <w:bottom w:w="90" w:type="dxa"/>
              <w:end w:w="90" w:type="dxa"/>
            </w:tcMar>
            <w:vAlign w:val="center"/>
          </w:tcPr>
          <w:p>
            <w:r>
              <w:rPr>
                <w:b/>
                <w:color w:val="FFFFFF"/>
                <w:sz w:val="16"/>
              </w:rPr>
              <w:t>Curriculum commitment</w:t>
            </w:r>
          </w:p>
        </w:tc>
        <w:tc>
          <w:tcPr>
            <w:tcW w:type="dxa" w:w="3427"/>
            <w:shd w:fill="2E2A3A"/>
            <w:tcMar>
              <w:top w:w="90" w:type="dxa"/>
              <w:start w:w="90" w:type="dxa"/>
              <w:bottom w:w="90" w:type="dxa"/>
              <w:end w:w="90" w:type="dxa"/>
            </w:tcMar>
            <w:vAlign w:val="center"/>
          </w:tcPr>
          <w:p>
            <w:r>
              <w:rPr>
                <w:b/>
                <w:color w:val="FFFFFF"/>
                <w:sz w:val="16"/>
              </w:rPr>
              <w:t>What this means in practice</w:t>
            </w:r>
          </w:p>
        </w:tc>
      </w:tr>
      <w:tr>
        <w:trPr>
          <w:cantSplit/>
        </w:trPr>
        <w:tc>
          <w:tcPr>
            <w:tcW w:type="dxa" w:w="1512"/>
            <w:shd w:fill="FFFFFF"/>
            <w:tcMar>
              <w:top w:w="90" w:type="dxa"/>
              <w:start w:w="90" w:type="dxa"/>
              <w:bottom w:w="90" w:type="dxa"/>
              <w:end w:w="90" w:type="dxa"/>
            </w:tcMar>
            <w:vAlign w:val="top"/>
          </w:tcPr>
          <w:p>
            <w:r>
              <w:rPr>
                <w:color w:val="2D2D33"/>
                <w:sz w:val="16"/>
              </w:rPr>
              <w:t>Inclusion</w:t>
            </w:r>
          </w:p>
        </w:tc>
        <w:tc>
          <w:tcPr>
            <w:tcW w:type="dxa" w:w="3528"/>
            <w:shd w:fill="FFFFFF"/>
            <w:tcMar>
              <w:top w:w="90" w:type="dxa"/>
              <w:start w:w="90" w:type="dxa"/>
              <w:bottom w:w="90" w:type="dxa"/>
              <w:end w:w="90" w:type="dxa"/>
            </w:tcMar>
            <w:vAlign w:val="top"/>
          </w:tcPr>
          <w:p>
            <w:r>
              <w:rPr>
                <w:color w:val="2D2D33"/>
                <w:sz w:val="16"/>
              </w:rPr>
              <w:t>Every pupil has access to a meaningful and ambitious curriculum.</w:t>
            </w:r>
          </w:p>
        </w:tc>
        <w:tc>
          <w:tcPr>
            <w:tcW w:type="dxa" w:w="5112"/>
            <w:shd w:fill="FFFFFF"/>
            <w:tcMar>
              <w:top w:w="90" w:type="dxa"/>
              <w:start w:w="90" w:type="dxa"/>
              <w:bottom w:w="90" w:type="dxa"/>
              <w:end w:w="90" w:type="dxa"/>
            </w:tcMar>
            <w:vAlign w:val="top"/>
          </w:tcPr>
          <w:p>
            <w:r>
              <w:rPr>
                <w:color w:val="2D2D33"/>
                <w:sz w:val="16"/>
              </w:rPr>
              <w:t>We adapt pathways, teaching and support around starting points and barriers, while keeping important curriculum end points in view.</w:t>
            </w:r>
          </w:p>
        </w:tc>
      </w:tr>
      <w:tr>
        <w:trPr>
          <w:cantSplit/>
        </w:trPr>
        <w:tc>
          <w:tcPr>
            <w:tcW w:type="dxa" w:w="1512"/>
            <w:shd w:fill="F8F8F9"/>
            <w:tcMar>
              <w:top w:w="90" w:type="dxa"/>
              <w:start w:w="90" w:type="dxa"/>
              <w:bottom w:w="90" w:type="dxa"/>
              <w:end w:w="90" w:type="dxa"/>
            </w:tcMar>
            <w:vAlign w:val="top"/>
          </w:tcPr>
          <w:p>
            <w:r>
              <w:rPr>
                <w:color w:val="2D2D33"/>
                <w:sz w:val="16"/>
              </w:rPr>
              <w:t>Communication</w:t>
            </w:r>
          </w:p>
        </w:tc>
        <w:tc>
          <w:tcPr>
            <w:tcW w:type="dxa" w:w="3528"/>
            <w:shd w:fill="F8F8F9"/>
            <w:tcMar>
              <w:top w:w="90" w:type="dxa"/>
              <w:start w:w="90" w:type="dxa"/>
              <w:bottom w:w="90" w:type="dxa"/>
              <w:end w:w="90" w:type="dxa"/>
            </w:tcMar>
            <w:vAlign w:val="top"/>
          </w:tcPr>
          <w:p>
            <w:r>
              <w:rPr>
                <w:color w:val="2D2D33"/>
                <w:sz w:val="16"/>
              </w:rPr>
              <w:t>Language, reading, oracy and relationships enable pupils to access learning and participate in school life.</w:t>
            </w:r>
          </w:p>
        </w:tc>
        <w:tc>
          <w:tcPr>
            <w:tcW w:type="dxa" w:w="5112"/>
            <w:shd w:fill="F8F8F9"/>
            <w:tcMar>
              <w:top w:w="90" w:type="dxa"/>
              <w:start w:w="90" w:type="dxa"/>
              <w:bottom w:w="90" w:type="dxa"/>
              <w:end w:w="90" w:type="dxa"/>
            </w:tcMar>
            <w:vAlign w:val="top"/>
          </w:tcPr>
          <w:p>
            <w:r>
              <w:rPr>
                <w:color w:val="2D2D33"/>
                <w:sz w:val="16"/>
              </w:rPr>
              <w:t>Communication is developed across subjects through explicit vocabulary, reading, discussion, reciprocal approaches and purposeful feedback.</w:t>
            </w:r>
          </w:p>
        </w:tc>
      </w:tr>
      <w:tr>
        <w:trPr>
          <w:cantSplit/>
        </w:trPr>
        <w:tc>
          <w:tcPr>
            <w:tcW w:type="dxa" w:w="1512"/>
            <w:shd w:fill="FFFFFF"/>
            <w:tcMar>
              <w:top w:w="90" w:type="dxa"/>
              <w:start w:w="90" w:type="dxa"/>
              <w:bottom w:w="90" w:type="dxa"/>
              <w:end w:w="90" w:type="dxa"/>
            </w:tcMar>
            <w:vAlign w:val="top"/>
          </w:tcPr>
          <w:p>
            <w:r>
              <w:rPr>
                <w:color w:val="2D2D33"/>
                <w:sz w:val="16"/>
              </w:rPr>
              <w:t>Aspiration</w:t>
            </w:r>
          </w:p>
        </w:tc>
        <w:tc>
          <w:tcPr>
            <w:tcW w:type="dxa" w:w="3528"/>
            <w:shd w:fill="FFFFFF"/>
            <w:tcMar>
              <w:top w:w="90" w:type="dxa"/>
              <w:start w:w="90" w:type="dxa"/>
              <w:bottom w:w="90" w:type="dxa"/>
              <w:end w:w="90" w:type="dxa"/>
            </w:tcMar>
            <w:vAlign w:val="top"/>
          </w:tcPr>
          <w:p>
            <w:r>
              <w:rPr>
                <w:color w:val="2D2D33"/>
                <w:sz w:val="16"/>
              </w:rPr>
              <w:t>The curriculum should open doors rather than confirm previous limitations.</w:t>
            </w:r>
          </w:p>
        </w:tc>
        <w:tc>
          <w:tcPr>
            <w:tcW w:type="dxa" w:w="5112"/>
            <w:shd w:fill="FFFFFF"/>
            <w:tcMar>
              <w:top w:w="90" w:type="dxa"/>
              <w:start w:w="90" w:type="dxa"/>
              <w:bottom w:w="90" w:type="dxa"/>
              <w:end w:w="90" w:type="dxa"/>
            </w:tcMar>
            <w:vAlign w:val="top"/>
          </w:tcPr>
          <w:p>
            <w:r>
              <w:rPr>
                <w:color w:val="2D2D33"/>
                <w:sz w:val="16"/>
              </w:rPr>
              <w:t>Pupils work towards recognised outcomes, encounter careers and further education, experience challenge and are supported to see a credible future beyond Waterside.</w:t>
            </w:r>
          </w:p>
        </w:tc>
      </w:tr>
      <w:tr>
        <w:trPr>
          <w:cantSplit/>
        </w:trPr>
        <w:tc>
          <w:tcPr>
            <w:tcW w:type="dxa" w:w="1512"/>
            <w:shd w:fill="F8F8F9"/>
            <w:tcMar>
              <w:top w:w="90" w:type="dxa"/>
              <w:start w:w="90" w:type="dxa"/>
              <w:bottom w:w="90" w:type="dxa"/>
              <w:end w:w="90" w:type="dxa"/>
            </w:tcMar>
            <w:vAlign w:val="top"/>
          </w:tcPr>
          <w:p>
            <w:r>
              <w:rPr>
                <w:color w:val="2D2D33"/>
                <w:sz w:val="16"/>
              </w:rPr>
              <w:t>Nurture</w:t>
            </w:r>
          </w:p>
        </w:tc>
        <w:tc>
          <w:tcPr>
            <w:tcW w:type="dxa" w:w="3528"/>
            <w:shd w:fill="F8F8F9"/>
            <w:tcMar>
              <w:top w:w="90" w:type="dxa"/>
              <w:start w:w="90" w:type="dxa"/>
              <w:bottom w:w="90" w:type="dxa"/>
              <w:end w:w="90" w:type="dxa"/>
            </w:tcMar>
            <w:vAlign w:val="top"/>
          </w:tcPr>
          <w:p>
            <w:r>
              <w:rPr>
                <w:color w:val="2D2D33"/>
                <w:sz w:val="16"/>
              </w:rPr>
              <w:t>Pupils learn best when classrooms are safe, predictable and relational.</w:t>
            </w:r>
          </w:p>
        </w:tc>
        <w:tc>
          <w:tcPr>
            <w:tcW w:type="dxa" w:w="5112"/>
            <w:shd w:fill="F8F8F9"/>
            <w:tcMar>
              <w:top w:w="90" w:type="dxa"/>
              <w:start w:w="90" w:type="dxa"/>
              <w:bottom w:w="90" w:type="dxa"/>
              <w:end w:w="90" w:type="dxa"/>
            </w:tcMar>
            <w:vAlign w:val="top"/>
          </w:tcPr>
          <w:p>
            <w:r>
              <w:rPr>
                <w:color w:val="2D2D33"/>
                <w:sz w:val="16"/>
              </w:rPr>
              <w:t>Consistent routines, fresh starts, positive relationships and well-judged support create the security pupils need to take risks, persevere and become more independent.</w:t>
            </w:r>
          </w:p>
        </w:tc>
      </w:tr>
    </w:tbl>
    <w:p>
      <w:pPr>
        <w:pStyle w:val="Heading1"/>
        <w:pBdr>
          <w:bottom w:val="single" w:sz="8" w:space="3" w:color="76B82A"/>
        </w:pBdr>
      </w:pPr>
      <w:r>
        <w:t>4. Curriculum Intent</w:t>
      </w:r>
    </w:p>
    <w:p>
      <w:r>
        <w:t>The curriculum at Waterside Academy is designed to provide every pupil with a broad, ambitious and purposeful education that reflects both their individual starting points and the wider demands of adult life. Our intent is to secure strong foundations in English, mathematics, science, reading and communication, while rebuilding engagement with education through clear routines, relevant learning, success and appropriately challenging experiences. We aim to address gaps in knowledge through careful sequencing, retrieval and revisiting, assessment and targeted intervention, without unnecessarily narrowing the curriculum. Alongside the core academic offer, pupils access a wider curriculum that includes physical education, personal development, citizenship, digital life skills, extended curriculum and preparation for adulthood. At Key Stage 4, pupils are supported to follow credible and personalised qualification pathways, including GCSEs, Functional Skills and other appropriate accreditation, with a strong focus on progression to education, employment or training. Careers education, employer encounters, off-site learning and destination planning help pupils understand the opportunities available to them and develop the knowledge, skills and confidence needed for their next steps. Throughout the curriculum, our I CAN values of Inclusion, Communication, Aspiration and Nurture shape both what we teach and how we teach it, ensuring pupils feel known, supported, challenged and prepared for life beyond Waterside.</w:t>
      </w:r>
    </w:p>
    <w:p>
      <w:pPr>
        <w:pStyle w:val="Heading1"/>
        <w:pBdr>
          <w:bottom w:val="single" w:sz="8" w:space="3" w:color="76B82A"/>
        </w:pBdr>
      </w:pPr>
      <w:r>
        <w:t>5. Key Stage 3 Curriculum Offer</w:t>
      </w:r>
    </w:p>
    <w:p>
      <w:r>
        <w:t>At Key Stage 3, the priority is to restore curriculum entitlement, strengthen core knowledge and rebuild the habits needed for successful learning. Pupils experience a broad programme rather than an early examination-only curriculum. The exact timetable allocation is reviewed annually in response to cohort need, staffing and curriculum evaluation.</w:t>
      </w:r>
    </w:p>
    <w:tbl>
      <w:tblPr>
        <w:tblW w:type="auto" w:w="0"/>
        <w:jc w:val="center"/>
        <w:tblLayout w:type="fixed"/>
        <w:tblLook w:firstColumn="1" w:firstRow="1" w:lastColumn="0" w:lastRow="0" w:noHBand="0" w:noVBand="1" w:val="04A0"/>
        <w:tblBorders>
          <w:top w:val="single" w:sz="5" w:space="0" w:color="B7B7BF"/>
          <w:left w:val="single" w:sz="5" w:space="0" w:color="B7B7BF"/>
          <w:bottom w:val="single" w:sz="5" w:space="0" w:color="B7B7BF"/>
          <w:right w:val="single" w:sz="5" w:space="0" w:color="B7B7BF"/>
          <w:insideH w:val="single" w:sz="5" w:space="0" w:color="B7B7BF"/>
          <w:insideV w:val="single" w:sz="5" w:space="0" w:color="B7B7BF"/>
        </w:tblBorders>
      </w:tblPr>
      <w:tblGrid>
        <w:gridCol w:w="3024"/>
        <w:gridCol w:w="7200"/>
      </w:tblGrid>
      <w:tr>
        <w:trPr>
          <w:tblHeader w:val="true"/>
          <w:cantSplit/>
        </w:trPr>
        <w:tc>
          <w:tcPr>
            <w:tcW w:type="dxa" w:w="5141"/>
            <w:shd w:fill="2E2A3A"/>
            <w:tcMar>
              <w:top w:w="90" w:type="dxa"/>
              <w:start w:w="90" w:type="dxa"/>
              <w:bottom w:w="90" w:type="dxa"/>
              <w:end w:w="90" w:type="dxa"/>
            </w:tcMar>
            <w:vAlign w:val="center"/>
          </w:tcPr>
          <w:p>
            <w:r>
              <w:rPr>
                <w:b/>
                <w:color w:val="FFFFFF"/>
                <w:sz w:val="16"/>
              </w:rPr>
              <w:t>Curriculum area</w:t>
            </w:r>
          </w:p>
        </w:tc>
        <w:tc>
          <w:tcPr>
            <w:tcW w:type="dxa" w:w="5141"/>
            <w:shd w:fill="2E2A3A"/>
            <w:tcMar>
              <w:top w:w="90" w:type="dxa"/>
              <w:start w:w="90" w:type="dxa"/>
              <w:bottom w:w="90" w:type="dxa"/>
              <w:end w:w="90" w:type="dxa"/>
            </w:tcMar>
            <w:vAlign w:val="center"/>
          </w:tcPr>
          <w:p>
            <w:r>
              <w:rPr>
                <w:b/>
                <w:color w:val="FFFFFF"/>
                <w:sz w:val="16"/>
              </w:rPr>
              <w:t>Key Stage 3 purpose</w:t>
            </w:r>
          </w:p>
        </w:tc>
      </w:tr>
      <w:tr>
        <w:trPr>
          <w:cantSplit/>
        </w:trPr>
        <w:tc>
          <w:tcPr>
            <w:tcW w:type="dxa" w:w="3024"/>
            <w:shd w:fill="FFFFFF"/>
            <w:tcMar>
              <w:top w:w="90" w:type="dxa"/>
              <w:start w:w="90" w:type="dxa"/>
              <w:bottom w:w="90" w:type="dxa"/>
              <w:end w:w="90" w:type="dxa"/>
            </w:tcMar>
            <w:vAlign w:val="top"/>
          </w:tcPr>
          <w:p>
            <w:r>
              <w:rPr>
                <w:color w:val="2D2D33"/>
                <w:sz w:val="16"/>
              </w:rPr>
              <w:t>English</w:t>
            </w:r>
          </w:p>
        </w:tc>
        <w:tc>
          <w:tcPr>
            <w:tcW w:type="dxa" w:w="7200"/>
            <w:shd w:fill="FFFFFF"/>
            <w:tcMar>
              <w:top w:w="90" w:type="dxa"/>
              <w:start w:w="90" w:type="dxa"/>
              <w:bottom w:w="90" w:type="dxa"/>
              <w:end w:w="90" w:type="dxa"/>
            </w:tcMar>
            <w:vAlign w:val="top"/>
          </w:tcPr>
          <w:p>
            <w:r>
              <w:rPr>
                <w:color w:val="2D2D33"/>
                <w:sz w:val="16"/>
              </w:rPr>
              <w:t>Reading, writing, vocabulary, communication and preparation for later English qualifications.</w:t>
            </w:r>
          </w:p>
        </w:tc>
      </w:tr>
      <w:tr>
        <w:trPr>
          <w:cantSplit/>
        </w:trPr>
        <w:tc>
          <w:tcPr>
            <w:tcW w:type="dxa" w:w="3024"/>
            <w:shd w:fill="F8F8F9"/>
            <w:tcMar>
              <w:top w:w="90" w:type="dxa"/>
              <w:start w:w="90" w:type="dxa"/>
              <w:bottom w:w="90" w:type="dxa"/>
              <w:end w:w="90" w:type="dxa"/>
            </w:tcMar>
            <w:vAlign w:val="top"/>
          </w:tcPr>
          <w:p>
            <w:r>
              <w:rPr>
                <w:color w:val="2D2D33"/>
                <w:sz w:val="16"/>
              </w:rPr>
              <w:t>Mathematics</w:t>
            </w:r>
          </w:p>
        </w:tc>
        <w:tc>
          <w:tcPr>
            <w:tcW w:type="dxa" w:w="7200"/>
            <w:shd w:fill="F8F8F9"/>
            <w:tcMar>
              <w:top w:w="90" w:type="dxa"/>
              <w:start w:w="90" w:type="dxa"/>
              <w:bottom w:w="90" w:type="dxa"/>
              <w:end w:w="90" w:type="dxa"/>
            </w:tcMar>
            <w:vAlign w:val="top"/>
          </w:tcPr>
          <w:p>
            <w:r>
              <w:rPr>
                <w:color w:val="2D2D33"/>
                <w:sz w:val="16"/>
              </w:rPr>
              <w:t>Fluency, reasoning, problem solving and secure foundations for future qualifications and adult life.</w:t>
            </w:r>
          </w:p>
        </w:tc>
      </w:tr>
      <w:tr>
        <w:trPr>
          <w:cantSplit/>
        </w:trPr>
        <w:tc>
          <w:tcPr>
            <w:tcW w:type="dxa" w:w="3024"/>
            <w:shd w:fill="FFFFFF"/>
            <w:tcMar>
              <w:top w:w="90" w:type="dxa"/>
              <w:start w:w="90" w:type="dxa"/>
              <w:bottom w:w="90" w:type="dxa"/>
              <w:end w:w="90" w:type="dxa"/>
            </w:tcMar>
            <w:vAlign w:val="top"/>
          </w:tcPr>
          <w:p>
            <w:r>
              <w:rPr>
                <w:color w:val="2D2D33"/>
                <w:sz w:val="16"/>
              </w:rPr>
              <w:t>Science</w:t>
            </w:r>
          </w:p>
        </w:tc>
        <w:tc>
          <w:tcPr>
            <w:tcW w:type="dxa" w:w="7200"/>
            <w:shd w:fill="FFFFFF"/>
            <w:tcMar>
              <w:top w:w="90" w:type="dxa"/>
              <w:start w:w="90" w:type="dxa"/>
              <w:bottom w:w="90" w:type="dxa"/>
              <w:end w:w="90" w:type="dxa"/>
            </w:tcMar>
            <w:vAlign w:val="top"/>
          </w:tcPr>
          <w:p>
            <w:r>
              <w:rPr>
                <w:color w:val="2D2D33"/>
                <w:sz w:val="16"/>
              </w:rPr>
              <w:t>Cumulative scientific knowledge, practical understanding and preparation for Key Stage 4 study.</w:t>
            </w:r>
          </w:p>
        </w:tc>
      </w:tr>
      <w:tr>
        <w:trPr>
          <w:cantSplit/>
        </w:trPr>
        <w:tc>
          <w:tcPr>
            <w:tcW w:type="dxa" w:w="3024"/>
            <w:shd w:fill="F8F8F9"/>
            <w:tcMar>
              <w:top w:w="90" w:type="dxa"/>
              <w:start w:w="90" w:type="dxa"/>
              <w:bottom w:w="90" w:type="dxa"/>
              <w:end w:w="90" w:type="dxa"/>
            </w:tcMar>
            <w:vAlign w:val="top"/>
          </w:tcPr>
          <w:p>
            <w:r>
              <w:rPr>
                <w:color w:val="2D2D33"/>
                <w:sz w:val="16"/>
              </w:rPr>
              <w:t>Reading, Communication &amp; Literacy</w:t>
            </w:r>
          </w:p>
        </w:tc>
        <w:tc>
          <w:tcPr>
            <w:tcW w:type="dxa" w:w="7200"/>
            <w:shd w:fill="F8F8F9"/>
            <w:tcMar>
              <w:top w:w="90" w:type="dxa"/>
              <w:start w:w="90" w:type="dxa"/>
              <w:bottom w:w="90" w:type="dxa"/>
              <w:end w:w="90" w:type="dxa"/>
            </w:tcMar>
            <w:vAlign w:val="top"/>
          </w:tcPr>
          <w:p>
            <w:r>
              <w:rPr>
                <w:color w:val="2D2D33"/>
                <w:sz w:val="16"/>
              </w:rPr>
              <w:t>Targeted development of reading fluency, comprehension, vocabulary and communication; reciprocal reading approaches are used where appropriate.</w:t>
            </w:r>
          </w:p>
        </w:tc>
      </w:tr>
      <w:tr>
        <w:trPr>
          <w:cantSplit/>
        </w:trPr>
        <w:tc>
          <w:tcPr>
            <w:tcW w:type="dxa" w:w="3024"/>
            <w:shd w:fill="FFFFFF"/>
            <w:tcMar>
              <w:top w:w="90" w:type="dxa"/>
              <w:start w:w="90" w:type="dxa"/>
              <w:bottom w:w="90" w:type="dxa"/>
              <w:end w:w="90" w:type="dxa"/>
            </w:tcMar>
            <w:vAlign w:val="top"/>
          </w:tcPr>
          <w:p>
            <w:r>
              <w:rPr>
                <w:color w:val="2D2D33"/>
                <w:sz w:val="16"/>
              </w:rPr>
              <w:t>Citizenship &amp; PSHE / Personal Development</w:t>
            </w:r>
          </w:p>
        </w:tc>
        <w:tc>
          <w:tcPr>
            <w:tcW w:type="dxa" w:w="7200"/>
            <w:shd w:fill="FFFFFF"/>
            <w:tcMar>
              <w:top w:w="90" w:type="dxa"/>
              <w:start w:w="90" w:type="dxa"/>
              <w:bottom w:w="90" w:type="dxa"/>
              <w:end w:w="90" w:type="dxa"/>
            </w:tcMar>
            <w:vAlign w:val="top"/>
          </w:tcPr>
          <w:p>
            <w:r>
              <w:rPr>
                <w:color w:val="2D2D33"/>
                <w:sz w:val="16"/>
              </w:rPr>
              <w:t>Knowledge needed to participate safely and responsibly in relationships, communities and wider society.</w:t>
            </w:r>
          </w:p>
        </w:tc>
      </w:tr>
      <w:tr>
        <w:trPr>
          <w:cantSplit/>
        </w:trPr>
        <w:tc>
          <w:tcPr>
            <w:tcW w:type="dxa" w:w="3024"/>
            <w:shd w:fill="F8F8F9"/>
            <w:tcMar>
              <w:top w:w="90" w:type="dxa"/>
              <w:start w:w="90" w:type="dxa"/>
              <w:bottom w:w="90" w:type="dxa"/>
              <w:end w:w="90" w:type="dxa"/>
            </w:tcMar>
            <w:vAlign w:val="top"/>
          </w:tcPr>
          <w:p>
            <w:r>
              <w:rPr>
                <w:color w:val="2D2D33"/>
                <w:sz w:val="16"/>
              </w:rPr>
              <w:t>Digital Life Skills</w:t>
            </w:r>
          </w:p>
        </w:tc>
        <w:tc>
          <w:tcPr>
            <w:tcW w:type="dxa" w:w="7200"/>
            <w:shd w:fill="F8F8F9"/>
            <w:tcMar>
              <w:top w:w="90" w:type="dxa"/>
              <w:start w:w="90" w:type="dxa"/>
              <w:bottom w:w="90" w:type="dxa"/>
              <w:end w:w="90" w:type="dxa"/>
            </w:tcMar>
            <w:vAlign w:val="top"/>
          </w:tcPr>
          <w:p>
            <w:r>
              <w:rPr>
                <w:color w:val="2D2D33"/>
                <w:sz w:val="16"/>
              </w:rPr>
              <w:t>Practical digital competence, online safety, responsible participation and knowledge needed for everyday life and work.</w:t>
            </w:r>
          </w:p>
        </w:tc>
      </w:tr>
      <w:tr>
        <w:trPr>
          <w:cantSplit/>
        </w:trPr>
        <w:tc>
          <w:tcPr>
            <w:tcW w:type="dxa" w:w="3024"/>
            <w:shd w:fill="FFFFFF"/>
            <w:tcMar>
              <w:top w:w="90" w:type="dxa"/>
              <w:start w:w="90" w:type="dxa"/>
              <w:bottom w:w="90" w:type="dxa"/>
              <w:end w:w="90" w:type="dxa"/>
            </w:tcMar>
            <w:vAlign w:val="top"/>
          </w:tcPr>
          <w:p>
            <w:r>
              <w:rPr>
                <w:color w:val="2D2D33"/>
                <w:sz w:val="16"/>
              </w:rPr>
              <w:t>PE</w:t>
            </w:r>
          </w:p>
        </w:tc>
        <w:tc>
          <w:tcPr>
            <w:tcW w:type="dxa" w:w="7200"/>
            <w:shd w:fill="FFFFFF"/>
            <w:tcMar>
              <w:top w:w="90" w:type="dxa"/>
              <w:start w:w="90" w:type="dxa"/>
              <w:bottom w:w="90" w:type="dxa"/>
              <w:end w:w="90" w:type="dxa"/>
            </w:tcMar>
            <w:vAlign w:val="top"/>
          </w:tcPr>
          <w:p>
            <w:r>
              <w:rPr>
                <w:color w:val="2D2D33"/>
                <w:sz w:val="16"/>
              </w:rPr>
              <w:t>Physical competence, health, teamwork, confidence and engagement through appropriate challenge.</w:t>
            </w:r>
          </w:p>
        </w:tc>
      </w:tr>
      <w:tr>
        <w:trPr>
          <w:cantSplit/>
        </w:trPr>
        <w:tc>
          <w:tcPr>
            <w:tcW w:type="dxa" w:w="3024"/>
            <w:shd w:fill="F8F8F9"/>
            <w:tcMar>
              <w:top w:w="90" w:type="dxa"/>
              <w:start w:w="90" w:type="dxa"/>
              <w:bottom w:w="90" w:type="dxa"/>
              <w:end w:w="90" w:type="dxa"/>
            </w:tcMar>
            <w:vAlign w:val="top"/>
          </w:tcPr>
          <w:p>
            <w:r>
              <w:rPr>
                <w:color w:val="2D2D33"/>
                <w:sz w:val="16"/>
              </w:rPr>
              <w:t>Extended Curriculum</w:t>
            </w:r>
          </w:p>
        </w:tc>
        <w:tc>
          <w:tcPr>
            <w:tcW w:type="dxa" w:w="7200"/>
            <w:shd w:fill="F8F8F9"/>
            <w:tcMar>
              <w:top w:w="90" w:type="dxa"/>
              <w:start w:w="90" w:type="dxa"/>
              <w:bottom w:w="90" w:type="dxa"/>
              <w:end w:w="90" w:type="dxa"/>
            </w:tcMar>
            <w:vAlign w:val="top"/>
          </w:tcPr>
          <w:p>
            <w:r>
              <w:rPr>
                <w:color w:val="2D2D33"/>
                <w:sz w:val="16"/>
              </w:rPr>
              <w:t>Planned practical, outdoor, creative and community experiences linked to the wider curriculum pillars.</w:t>
            </w:r>
          </w:p>
        </w:tc>
      </w:tr>
      <w:tr>
        <w:trPr>
          <w:cantSplit/>
        </w:trPr>
        <w:tc>
          <w:tcPr>
            <w:tcW w:type="dxa" w:w="3024"/>
            <w:shd w:fill="FFFFFF"/>
            <w:tcMar>
              <w:top w:w="90" w:type="dxa"/>
              <w:start w:w="90" w:type="dxa"/>
              <w:bottom w:w="90" w:type="dxa"/>
              <w:end w:w="90" w:type="dxa"/>
            </w:tcMar>
            <w:vAlign w:val="top"/>
          </w:tcPr>
          <w:p>
            <w:r>
              <w:rPr>
                <w:color w:val="2D2D33"/>
                <w:sz w:val="16"/>
              </w:rPr>
              <w:t>Preparation for Adulthood</w:t>
            </w:r>
          </w:p>
        </w:tc>
        <w:tc>
          <w:tcPr>
            <w:tcW w:type="dxa" w:w="7200"/>
            <w:shd w:fill="FFFFFF"/>
            <w:tcMar>
              <w:top w:w="90" w:type="dxa"/>
              <w:start w:w="90" w:type="dxa"/>
              <w:bottom w:w="90" w:type="dxa"/>
              <w:end w:w="90" w:type="dxa"/>
            </w:tcMar>
            <w:vAlign w:val="top"/>
          </w:tcPr>
          <w:p>
            <w:r>
              <w:rPr>
                <w:color w:val="2D2D33"/>
                <w:sz w:val="16"/>
              </w:rPr>
              <w:t>Increasing independence, practical life knowledge, decision making and understanding of future responsibilities.</w:t>
            </w:r>
          </w:p>
        </w:tc>
      </w:tr>
      <w:tr>
        <w:trPr>
          <w:cantSplit/>
        </w:trPr>
        <w:tc>
          <w:tcPr>
            <w:tcW w:type="dxa" w:w="3024"/>
            <w:shd w:fill="F8F8F9"/>
            <w:tcMar>
              <w:top w:w="90" w:type="dxa"/>
              <w:start w:w="90" w:type="dxa"/>
              <w:bottom w:w="90" w:type="dxa"/>
              <w:end w:w="90" w:type="dxa"/>
            </w:tcMar>
            <w:vAlign w:val="top"/>
          </w:tcPr>
          <w:p>
            <w:r>
              <w:rPr>
                <w:color w:val="2D2D33"/>
                <w:sz w:val="16"/>
              </w:rPr>
              <w:t>Careers &amp; Enterprise</w:t>
            </w:r>
          </w:p>
        </w:tc>
        <w:tc>
          <w:tcPr>
            <w:tcW w:type="dxa" w:w="7200"/>
            <w:shd w:fill="F8F8F9"/>
            <w:tcMar>
              <w:top w:w="90" w:type="dxa"/>
              <w:start w:w="90" w:type="dxa"/>
              <w:bottom w:w="90" w:type="dxa"/>
              <w:end w:w="90" w:type="dxa"/>
            </w:tcMar>
            <w:vAlign w:val="top"/>
          </w:tcPr>
          <w:p>
            <w:r>
              <w:rPr>
                <w:color w:val="2D2D33"/>
                <w:sz w:val="16"/>
              </w:rPr>
              <w:t>Early careers learning, strengths and interests, employability awareness and understanding of future pathways.</w:t>
            </w:r>
          </w:p>
        </w:tc>
      </w:tr>
      <w:tr>
        <w:trPr>
          <w:cantSplit/>
        </w:trPr>
        <w:tc>
          <w:tcPr>
            <w:tcW w:type="dxa" w:w="3024"/>
            <w:shd w:fill="FFFFFF"/>
            <w:tcMar>
              <w:top w:w="90" w:type="dxa"/>
              <w:start w:w="90" w:type="dxa"/>
              <w:bottom w:w="90" w:type="dxa"/>
              <w:end w:w="90" w:type="dxa"/>
            </w:tcMar>
            <w:vAlign w:val="top"/>
          </w:tcPr>
          <w:p>
            <w:r>
              <w:rPr>
                <w:color w:val="2D2D33"/>
                <w:sz w:val="16"/>
              </w:rPr>
              <w:t>I CAN / Intervention</w:t>
            </w:r>
          </w:p>
        </w:tc>
        <w:tc>
          <w:tcPr>
            <w:tcW w:type="dxa" w:w="7200"/>
            <w:shd w:fill="FFFFFF"/>
            <w:tcMar>
              <w:top w:w="90" w:type="dxa"/>
              <w:start w:w="90" w:type="dxa"/>
              <w:bottom w:w="90" w:type="dxa"/>
              <w:end w:w="90" w:type="dxa"/>
            </w:tcMar>
            <w:vAlign w:val="top"/>
          </w:tcPr>
          <w:p>
            <w:r>
              <w:rPr>
                <w:color w:val="2D2D33"/>
                <w:sz w:val="16"/>
              </w:rPr>
              <w:t>Short, purposeful intervention matched to identified barriers or gaps while protecting access to the wider curriculum.</w:t>
            </w:r>
          </w:p>
        </w:tc>
      </w:tr>
    </w:tbl>
    <w:p>
      <w:pPr>
        <w:pStyle w:val="Heading1"/>
        <w:pBdr>
          <w:bottom w:val="single" w:sz="8" w:space="3" w:color="76B82A"/>
        </w:pBdr>
      </w:pPr>
      <w:r>
        <w:t>6. Key Stage 4 Curriculum Offer and Pathways</w:t>
      </w:r>
    </w:p>
    <w:p>
      <w:r>
        <w:t>At Key Stage 4, pupils continue to receive a broad curriculum while an increasing proportion of time is focused on recognised outcomes, progression and destination readiness. Pathways are personalised, but all pupils retain access to core learning, personal development and preparation for adulthood.</w:t>
      </w:r>
    </w:p>
    <w:p>
      <w:pPr>
        <w:pStyle w:val="Heading2"/>
      </w:pPr>
      <w:r>
        <w:t>6.1 Core and qualification curriculum</w:t>
      </w:r>
    </w:p>
    <w:p>
      <w:pPr>
        <w:pStyle w:val="ListBullet"/>
        <w:spacing w:after="40"/>
      </w:pPr>
      <w:r>
        <w:t>English Language and, where appropriate to the planned pathway, English Literature.</w:t>
      </w:r>
    </w:p>
    <w:p>
      <w:pPr>
        <w:pStyle w:val="ListBullet"/>
        <w:spacing w:after="40"/>
      </w:pPr>
      <w:r>
        <w:t>Mathematics.</w:t>
      </w:r>
    </w:p>
    <w:p>
      <w:pPr>
        <w:pStyle w:val="ListBullet"/>
        <w:spacing w:after="40"/>
      </w:pPr>
      <w:r>
        <w:t>Science.</w:t>
      </w:r>
    </w:p>
    <w:p>
      <w:pPr>
        <w:pStyle w:val="ListBullet"/>
        <w:spacing w:after="40"/>
      </w:pPr>
      <w:r>
        <w:t>Physical Education, including qualification study where this forms part of the pupil’s pathway.</w:t>
      </w:r>
    </w:p>
    <w:p>
      <w:pPr>
        <w:pStyle w:val="ListBullet"/>
        <w:spacing w:after="40"/>
      </w:pPr>
      <w:r>
        <w:t>Functional Skills in English and/or mathematics where this provides the most appropriate route, stepping stone or additional recognised outcome.</w:t>
      </w:r>
    </w:p>
    <w:p>
      <w:pPr>
        <w:pStyle w:val="Heading2"/>
      </w:pPr>
      <w:r>
        <w:t>6.2 Wider entitlement</w:t>
      </w:r>
    </w:p>
    <w:p>
      <w:pPr>
        <w:pStyle w:val="ListBullet"/>
        <w:spacing w:after="40"/>
      </w:pPr>
      <w:r>
        <w:t>Citizenship and PSHE / personal development.</w:t>
      </w:r>
    </w:p>
    <w:p>
      <w:pPr>
        <w:pStyle w:val="ListBullet"/>
        <w:spacing w:after="40"/>
      </w:pPr>
      <w:r>
        <w:t>Digital life skills.</w:t>
      </w:r>
    </w:p>
    <w:p>
      <w:pPr>
        <w:pStyle w:val="ListBullet"/>
        <w:spacing w:after="40"/>
      </w:pPr>
      <w:r>
        <w:t>Preparation for adulthood and careers learning.</w:t>
      </w:r>
    </w:p>
    <w:p>
      <w:pPr>
        <w:pStyle w:val="ListBullet"/>
        <w:spacing w:after="40"/>
      </w:pPr>
      <w:r>
        <w:t>Extended curriculum and enrichment.</w:t>
      </w:r>
    </w:p>
    <w:p>
      <w:pPr>
        <w:pStyle w:val="ListBullet"/>
        <w:spacing w:after="40"/>
      </w:pPr>
      <w:r>
        <w:t>Off-site learning or specialist alternative provision where this is purposeful, quality assured and clearly linked to the pupil’s curriculum plan and destination.</w:t>
      </w:r>
    </w:p>
    <w:tbl>
      <w:tblPr>
        <w:tblW w:type="auto" w:w="0"/>
        <w:jc w:val="center"/>
        <w:tblLook w:firstColumn="1" w:firstRow="1" w:lastColumn="0" w:lastRow="0" w:noHBand="0" w:noVBand="1" w:val="04A0"/>
      </w:tblPr>
      <w:tblGrid>
        <w:gridCol w:w="10282"/>
      </w:tblGrid>
      <w:tr>
        <w:tc>
          <w:tcPr>
            <w:tcW w:type="dxa" w:w="10282"/>
            <w:shd w:fill="EFF6E7"/>
            <w:tcMar>
              <w:top w:w="120" w:type="dxa"/>
              <w:start w:w="150" w:type="dxa"/>
              <w:bottom w:w="120" w:type="dxa"/>
              <w:end w:w="150" w:type="dxa"/>
            </w:tcMar>
            <w:tcBorders>
              <w:left w:val="single" w:sz="18" w:color="76B82A"/>
            </w:tcBorders>
          </w:tcPr>
          <w:p>
            <w:pPr>
              <w:pStyle w:val="Callout"/>
            </w:pPr>
            <w:r>
              <w:t>Principle for pathway decisions: Personalisation means choosing the strongest route to a successful next step; it does not mean lowering expectations. Decisions are based on starting points, prior learning, attendance and engagement, identified needs, qualification feasibility and the pupil’s intended destination.</w:t>
            </w:r>
          </w:p>
        </w:tc>
      </w:tr>
    </w:tbl>
    <w:p>
      <w:pPr>
        <w:pStyle w:val="Heading1"/>
        <w:pBdr>
          <w:bottom w:val="single" w:sz="8" w:space="3" w:color="76B82A"/>
        </w:pBdr>
      </w:pPr>
      <w:r>
        <w:t>7. Curriculum Pathways and Personalisation</w:t>
      </w:r>
    </w:p>
    <w:tbl>
      <w:tblPr>
        <w:tblW w:type="auto" w:w="0"/>
        <w:jc w:val="center"/>
        <w:tblLayout w:type="fixed"/>
        <w:tblLook w:firstColumn="1" w:firstRow="1" w:lastColumn="0" w:lastRow="0" w:noHBand="0" w:noVBand="1" w:val="04A0"/>
        <w:tblBorders>
          <w:top w:val="single" w:sz="5" w:space="0" w:color="B7B7BF"/>
          <w:left w:val="single" w:sz="5" w:space="0" w:color="B7B7BF"/>
          <w:bottom w:val="single" w:sz="5" w:space="0" w:color="B7B7BF"/>
          <w:right w:val="single" w:sz="5" w:space="0" w:color="B7B7BF"/>
          <w:insideH w:val="single" w:sz="5" w:space="0" w:color="B7B7BF"/>
          <w:insideV w:val="single" w:sz="5" w:space="0" w:color="B7B7BF"/>
        </w:tblBorders>
      </w:tblPr>
      <w:tblGrid>
        <w:gridCol w:w="2448"/>
        <w:gridCol w:w="3672"/>
        <w:gridCol w:w="4104"/>
      </w:tblGrid>
      <w:tr>
        <w:trPr>
          <w:tblHeader w:val="true"/>
          <w:cantSplit/>
        </w:trPr>
        <w:tc>
          <w:tcPr>
            <w:tcW w:type="dxa" w:w="3427"/>
            <w:shd w:fill="2E2A3A"/>
            <w:tcMar>
              <w:top w:w="90" w:type="dxa"/>
              <w:start w:w="90" w:type="dxa"/>
              <w:bottom w:w="90" w:type="dxa"/>
              <w:end w:w="90" w:type="dxa"/>
            </w:tcMar>
            <w:vAlign w:val="center"/>
          </w:tcPr>
          <w:p>
            <w:r>
              <w:rPr>
                <w:b/>
                <w:color w:val="FFFFFF"/>
                <w:sz w:val="16"/>
              </w:rPr>
              <w:t>Pathway feature</w:t>
            </w:r>
          </w:p>
        </w:tc>
        <w:tc>
          <w:tcPr>
            <w:tcW w:type="dxa" w:w="3427"/>
            <w:shd w:fill="2E2A3A"/>
            <w:tcMar>
              <w:top w:w="90" w:type="dxa"/>
              <w:start w:w="90" w:type="dxa"/>
              <w:bottom w:w="90" w:type="dxa"/>
              <w:end w:w="90" w:type="dxa"/>
            </w:tcMar>
            <w:vAlign w:val="center"/>
          </w:tcPr>
          <w:p>
            <w:r>
              <w:rPr>
                <w:b/>
                <w:color w:val="FFFFFF"/>
                <w:sz w:val="16"/>
              </w:rPr>
              <w:t>Who it supports</w:t>
            </w:r>
          </w:p>
        </w:tc>
        <w:tc>
          <w:tcPr>
            <w:tcW w:type="dxa" w:w="3427"/>
            <w:shd w:fill="2E2A3A"/>
            <w:tcMar>
              <w:top w:w="90" w:type="dxa"/>
              <w:start w:w="90" w:type="dxa"/>
              <w:bottom w:w="90" w:type="dxa"/>
              <w:end w:w="90" w:type="dxa"/>
            </w:tcMar>
            <w:vAlign w:val="center"/>
          </w:tcPr>
          <w:p>
            <w:r>
              <w:rPr>
                <w:b/>
                <w:color w:val="FFFFFF"/>
                <w:sz w:val="16"/>
              </w:rPr>
              <w:t>Curriculum response</w:t>
            </w:r>
          </w:p>
        </w:tc>
      </w:tr>
      <w:tr>
        <w:trPr>
          <w:cantSplit/>
        </w:trPr>
        <w:tc>
          <w:tcPr>
            <w:tcW w:type="dxa" w:w="2448"/>
            <w:shd w:fill="FFFFFF"/>
            <w:tcMar>
              <w:top w:w="90" w:type="dxa"/>
              <w:start w:w="90" w:type="dxa"/>
              <w:bottom w:w="90" w:type="dxa"/>
              <w:end w:w="90" w:type="dxa"/>
            </w:tcMar>
            <w:vAlign w:val="top"/>
          </w:tcPr>
          <w:p>
            <w:r>
              <w:rPr>
                <w:color w:val="2D2D33"/>
                <w:sz w:val="16"/>
              </w:rPr>
              <w:t>GCSE-focused pathway</w:t>
            </w:r>
          </w:p>
        </w:tc>
        <w:tc>
          <w:tcPr>
            <w:tcW w:type="dxa" w:w="3672"/>
            <w:shd w:fill="FFFFFF"/>
            <w:tcMar>
              <w:top w:w="90" w:type="dxa"/>
              <w:start w:w="90" w:type="dxa"/>
              <w:bottom w:w="90" w:type="dxa"/>
              <w:end w:w="90" w:type="dxa"/>
            </w:tcMar>
            <w:vAlign w:val="top"/>
          </w:tcPr>
          <w:p>
            <w:r>
              <w:rPr>
                <w:color w:val="2D2D33"/>
                <w:sz w:val="16"/>
              </w:rPr>
              <w:t>Pupils able to sustain the knowledge, attendance and assessment demands of GCSE study.</w:t>
            </w:r>
          </w:p>
        </w:tc>
        <w:tc>
          <w:tcPr>
            <w:tcW w:type="dxa" w:w="4104"/>
            <w:shd w:fill="FFFFFF"/>
            <w:tcMar>
              <w:top w:w="90" w:type="dxa"/>
              <w:start w:w="90" w:type="dxa"/>
              <w:bottom w:w="90" w:type="dxa"/>
              <w:end w:w="90" w:type="dxa"/>
            </w:tcMar>
            <w:vAlign w:val="top"/>
          </w:tcPr>
          <w:p>
            <w:r>
              <w:rPr>
                <w:color w:val="2D2D33"/>
                <w:sz w:val="16"/>
              </w:rPr>
              <w:t>Ambitious GCSE preparation in the core and appropriate additional subjects, with intervention used to close specific gaps.</w:t>
            </w:r>
          </w:p>
        </w:tc>
      </w:tr>
      <w:tr>
        <w:trPr>
          <w:cantSplit/>
        </w:trPr>
        <w:tc>
          <w:tcPr>
            <w:tcW w:type="dxa" w:w="2448"/>
            <w:shd w:fill="F8F8F9"/>
            <w:tcMar>
              <w:top w:w="90" w:type="dxa"/>
              <w:start w:w="90" w:type="dxa"/>
              <w:bottom w:w="90" w:type="dxa"/>
              <w:end w:w="90" w:type="dxa"/>
            </w:tcMar>
            <w:vAlign w:val="top"/>
          </w:tcPr>
          <w:p>
            <w:r>
              <w:rPr>
                <w:color w:val="2D2D33"/>
                <w:sz w:val="16"/>
              </w:rPr>
              <w:t>Blended GCSE / Functional Skills pathway</w:t>
            </w:r>
          </w:p>
        </w:tc>
        <w:tc>
          <w:tcPr>
            <w:tcW w:type="dxa" w:w="3672"/>
            <w:shd w:fill="F8F8F9"/>
            <w:tcMar>
              <w:top w:w="90" w:type="dxa"/>
              <w:start w:w="90" w:type="dxa"/>
              <w:bottom w:w="90" w:type="dxa"/>
              <w:end w:w="90" w:type="dxa"/>
            </w:tcMar>
            <w:vAlign w:val="top"/>
          </w:tcPr>
          <w:p>
            <w:r>
              <w:rPr>
                <w:color w:val="2D2D33"/>
                <w:sz w:val="16"/>
              </w:rPr>
              <w:t>Pupils whose starting points or educational history mean different qualification routes are appropriate across subjects.</w:t>
            </w:r>
          </w:p>
        </w:tc>
        <w:tc>
          <w:tcPr>
            <w:tcW w:type="dxa" w:w="4104"/>
            <w:shd w:fill="F8F8F9"/>
            <w:tcMar>
              <w:top w:w="90" w:type="dxa"/>
              <w:start w:w="90" w:type="dxa"/>
              <w:bottom w:w="90" w:type="dxa"/>
              <w:end w:w="90" w:type="dxa"/>
            </w:tcMar>
            <w:vAlign w:val="top"/>
          </w:tcPr>
          <w:p>
            <w:r>
              <w:rPr>
                <w:color w:val="2D2D33"/>
                <w:sz w:val="16"/>
              </w:rPr>
              <w:t>A planned combination of GCSE and Functional Skills or other recognised outcomes, without removing wider curriculum entitlement.</w:t>
            </w:r>
          </w:p>
        </w:tc>
      </w:tr>
      <w:tr>
        <w:trPr>
          <w:cantSplit/>
        </w:trPr>
        <w:tc>
          <w:tcPr>
            <w:tcW w:type="dxa" w:w="2448"/>
            <w:shd w:fill="FFFFFF"/>
            <w:tcMar>
              <w:top w:w="90" w:type="dxa"/>
              <w:start w:w="90" w:type="dxa"/>
              <w:bottom w:w="90" w:type="dxa"/>
              <w:end w:w="90" w:type="dxa"/>
            </w:tcMar>
            <w:vAlign w:val="top"/>
          </w:tcPr>
          <w:p>
            <w:r>
              <w:rPr>
                <w:color w:val="2D2D33"/>
                <w:sz w:val="16"/>
              </w:rPr>
              <w:t>Re-engagement / personalised pathway</w:t>
            </w:r>
          </w:p>
        </w:tc>
        <w:tc>
          <w:tcPr>
            <w:tcW w:type="dxa" w:w="3672"/>
            <w:shd w:fill="FFFFFF"/>
            <w:tcMar>
              <w:top w:w="90" w:type="dxa"/>
              <w:start w:w="90" w:type="dxa"/>
              <w:bottom w:w="90" w:type="dxa"/>
              <w:end w:w="90" w:type="dxa"/>
            </w:tcMar>
            <w:vAlign w:val="top"/>
          </w:tcPr>
          <w:p>
            <w:r>
              <w:rPr>
                <w:color w:val="2D2D33"/>
                <w:sz w:val="16"/>
              </w:rPr>
              <w:t>Pupils requiring a more gradual return to sustained education or targeted specialist input.</w:t>
            </w:r>
          </w:p>
        </w:tc>
        <w:tc>
          <w:tcPr>
            <w:tcW w:type="dxa" w:w="4104"/>
            <w:shd w:fill="FFFFFF"/>
            <w:tcMar>
              <w:top w:w="90" w:type="dxa"/>
              <w:start w:w="90" w:type="dxa"/>
              <w:bottom w:w="90" w:type="dxa"/>
              <w:end w:w="90" w:type="dxa"/>
            </w:tcMar>
            <w:vAlign w:val="top"/>
          </w:tcPr>
          <w:p>
            <w:r>
              <w:rPr>
                <w:color w:val="2D2D33"/>
                <w:sz w:val="16"/>
              </w:rPr>
              <w:t>Core learning remains central, supplemented by targeted intervention, practical learning, carefully selected off-site provision and staged increases in participation.</w:t>
            </w:r>
          </w:p>
        </w:tc>
      </w:tr>
      <w:tr>
        <w:trPr>
          <w:cantSplit/>
        </w:trPr>
        <w:tc>
          <w:tcPr>
            <w:tcW w:type="dxa" w:w="2448"/>
            <w:shd w:fill="F8F8F9"/>
            <w:tcMar>
              <w:top w:w="90" w:type="dxa"/>
              <w:start w:w="90" w:type="dxa"/>
              <w:bottom w:w="90" w:type="dxa"/>
              <w:end w:w="90" w:type="dxa"/>
            </w:tcMar>
            <w:vAlign w:val="top"/>
          </w:tcPr>
          <w:p>
            <w:r>
              <w:rPr>
                <w:color w:val="2D2D33"/>
                <w:sz w:val="16"/>
              </w:rPr>
              <w:t>Destination-led pathway</w:t>
            </w:r>
          </w:p>
        </w:tc>
        <w:tc>
          <w:tcPr>
            <w:tcW w:type="dxa" w:w="3672"/>
            <w:shd w:fill="F8F8F9"/>
            <w:tcMar>
              <w:top w:w="90" w:type="dxa"/>
              <w:start w:w="90" w:type="dxa"/>
              <w:bottom w:w="90" w:type="dxa"/>
              <w:end w:w="90" w:type="dxa"/>
            </w:tcMar>
            <w:vAlign w:val="top"/>
          </w:tcPr>
          <w:p>
            <w:r>
              <w:rPr>
                <w:color w:val="2D2D33"/>
                <w:sz w:val="16"/>
              </w:rPr>
              <w:t>Pupils approaching transition who need specific preparation for college, training or employment.</w:t>
            </w:r>
          </w:p>
        </w:tc>
        <w:tc>
          <w:tcPr>
            <w:tcW w:type="dxa" w:w="4104"/>
            <w:shd w:fill="F8F8F9"/>
            <w:tcMar>
              <w:top w:w="90" w:type="dxa"/>
              <w:start w:w="90" w:type="dxa"/>
              <w:bottom w:w="90" w:type="dxa"/>
              <w:end w:w="90" w:type="dxa"/>
            </w:tcMar>
            <w:vAlign w:val="top"/>
          </w:tcPr>
          <w:p>
            <w:r>
              <w:rPr>
                <w:color w:val="2D2D33"/>
                <w:sz w:val="16"/>
              </w:rPr>
              <w:t>Qualification completion is combined with careers planning, applications, practical independence, employer/college engagement and transition work.</w:t>
            </w:r>
          </w:p>
        </w:tc>
      </w:tr>
    </w:tbl>
    <w:p>
      <w:pPr>
        <w:pStyle w:val="Heading1"/>
        <w:pBdr>
          <w:bottom w:val="single" w:sz="8" w:space="3" w:color="76B82A"/>
        </w:pBdr>
      </w:pPr>
      <w:r>
        <w:t>8. Sequencing and Progression</w:t>
      </w:r>
    </w:p>
    <w:p>
      <w:r>
        <w:t>Each subject has a planned sequence from starting points towards clearly defined end points. Curriculum planning identifies the knowledge pupils need to remember, the order in which it should be taught and the opportunities pupils need to practise and apply it. Where pupils join Waterside part-way through a sequence, teachers identify essential prior knowledge and provide the support needed to reconnect them with the planned curriculum.</w:t>
      </w:r>
    </w:p>
    <w:p>
      <w:pPr>
        <w:spacing w:after="60"/>
      </w:pPr>
      <w:r>
        <w:rPr>
          <w:b/>
        </w:rPr>
        <w:t xml:space="preserve">End points: </w:t>
      </w:r>
      <w:r>
        <w:t>Subject leaders define what pupils should know, understand and be able to do by the end of a unit, year or qualification stage.</w:t>
      </w:r>
    </w:p>
    <w:p>
      <w:pPr>
        <w:spacing w:after="60"/>
      </w:pPr>
      <w:r>
        <w:rPr>
          <w:b/>
        </w:rPr>
        <w:t xml:space="preserve">Prior knowledge: </w:t>
      </w:r>
      <w:r>
        <w:t>Planning identifies the knowledge that must already be secure and makes gaps visible.</w:t>
      </w:r>
    </w:p>
    <w:p>
      <w:pPr>
        <w:spacing w:after="60"/>
      </w:pPr>
      <w:r>
        <w:rPr>
          <w:b/>
        </w:rPr>
        <w:t xml:space="preserve">Small steps: </w:t>
      </w:r>
      <w:r>
        <w:t>Complex content is broken into manageable components so that pupils can experience success while building towards ambitious outcomes.</w:t>
      </w:r>
    </w:p>
    <w:p>
      <w:pPr>
        <w:spacing w:after="60"/>
      </w:pPr>
      <w:r>
        <w:rPr>
          <w:b/>
        </w:rPr>
        <w:t xml:space="preserve">Retrieval and revisiting: </w:t>
      </w:r>
      <w:r>
        <w:t>Important knowledge is revisited so that pupils strengthen recall and make connections across time.</w:t>
      </w:r>
    </w:p>
    <w:p>
      <w:pPr>
        <w:spacing w:after="60"/>
      </w:pPr>
      <w:r>
        <w:rPr>
          <w:b/>
        </w:rPr>
        <w:t xml:space="preserve">Vocabulary and disciplinary language: </w:t>
      </w:r>
      <w:r>
        <w:t>Key language is explicitly taught so pupils can understand, discuss and write about subject content with increasing precision.</w:t>
      </w:r>
    </w:p>
    <w:p>
      <w:pPr>
        <w:spacing w:after="60"/>
      </w:pPr>
      <w:r>
        <w:rPr>
          <w:b/>
        </w:rPr>
        <w:t xml:space="preserve">Transition between key stages: </w:t>
      </w:r>
      <w:r>
        <w:t>Key Stage 3 builds the knowledge, habits and confidence needed for Key Stage 4; Key Stage 4 planning works backwards from qualification requirements and post-16 destinations.</w:t>
      </w:r>
    </w:p>
    <w:p>
      <w:pPr>
        <w:pStyle w:val="Heading1"/>
        <w:pBdr>
          <w:bottom w:val="single" w:sz="8" w:space="3" w:color="76B82A"/>
        </w:pBdr>
      </w:pPr>
      <w:r>
        <w:t>9. Literacy, Reading and Communication</w:t>
      </w:r>
    </w:p>
    <w:p>
      <w:r>
        <w:t>Communication is an I CAN value and a curriculum priority. Reading, vocabulary, speaking, listening and writing are everybody’s responsibility because they determine pupils’ access to every subject and to life beyond school. Literacy support is therefore both discrete and embedded across the curriculum.</w:t>
      </w:r>
    </w:p>
    <w:p>
      <w:pPr>
        <w:pStyle w:val="ListBullet"/>
        <w:spacing w:after="40"/>
      </w:pPr>
      <w:r>
        <w:t>Reading is taught and practised deliberately, including structured comprehension and reciprocal reading approaches where appropriate.</w:t>
      </w:r>
    </w:p>
    <w:p>
      <w:pPr>
        <w:pStyle w:val="ListBullet"/>
        <w:spacing w:after="40"/>
      </w:pPr>
      <w:r>
        <w:t>Subject teachers identify and teach the vocabulary pupils need to access disciplinary knowledge.</w:t>
      </w:r>
    </w:p>
    <w:p>
      <w:pPr>
        <w:pStyle w:val="ListBullet"/>
        <w:spacing w:after="40"/>
      </w:pPr>
      <w:r>
        <w:t>Pupils are given regular opportunities to explain, discuss, read aloud, write and communicate for real purposes.</w:t>
      </w:r>
    </w:p>
    <w:p>
      <w:pPr>
        <w:pStyle w:val="ListBullet"/>
        <w:spacing w:after="40"/>
      </w:pPr>
      <w:r>
        <w:t>Targeted literacy and reading intervention is informed by assessment and reviewed for impact.</w:t>
      </w:r>
    </w:p>
    <w:p>
      <w:pPr>
        <w:pStyle w:val="ListBullet"/>
        <w:spacing w:after="40"/>
      </w:pPr>
      <w:r>
        <w:t>Support is designed to increase independence and access to the curriculum, not permanently reduce the level of demand.</w:t>
      </w:r>
    </w:p>
    <w:p>
      <w:pPr>
        <w:pStyle w:val="Heading1"/>
        <w:pBdr>
          <w:bottom w:val="single" w:sz="8" w:space="3" w:color="76B82A"/>
        </w:pBdr>
      </w:pPr>
      <w:r>
        <w:t>10. Extended Curriculum and Wider Experiences</w:t>
      </w:r>
    </w:p>
    <w:p>
      <w:r>
        <w:t>The extended curriculum is a planned part of curriculum entitlement rather than an add-on or reward. It gives pupils opportunities to apply knowledge, develop confidence, experience success in different contexts and build cultural and social capital. Extended learning is organised around the wider curriculum pillars and is linked to clear outcomes.</w:t>
      </w:r>
    </w:p>
    <w:p>
      <w:r>
        <w:t>The academy uses three broad themes across the year to provide coherence:</w:t>
      </w:r>
    </w:p>
    <w:tbl>
      <w:tblPr>
        <w:tblW w:type="auto" w:w="0"/>
        <w:jc w:val="center"/>
        <w:tblLayout w:type="fixed"/>
        <w:tblLook w:firstColumn="1" w:firstRow="1" w:lastColumn="0" w:lastRow="0" w:noHBand="0" w:noVBand="1" w:val="04A0"/>
        <w:tblBorders>
          <w:top w:val="single" w:sz="5" w:space="0" w:color="B7B7BF"/>
          <w:left w:val="single" w:sz="5" w:space="0" w:color="B7B7BF"/>
          <w:bottom w:val="single" w:sz="5" w:space="0" w:color="B7B7BF"/>
          <w:right w:val="single" w:sz="5" w:space="0" w:color="B7B7BF"/>
          <w:insideH w:val="single" w:sz="5" w:space="0" w:color="B7B7BF"/>
          <w:insideV w:val="single" w:sz="5" w:space="0" w:color="B7B7BF"/>
        </w:tblBorders>
      </w:tblPr>
      <w:tblGrid>
        <w:gridCol w:w="1224"/>
        <w:gridCol w:w="2952"/>
        <w:gridCol w:w="5976"/>
      </w:tblGrid>
      <w:tr>
        <w:trPr>
          <w:tblHeader w:val="true"/>
          <w:cantSplit/>
        </w:trPr>
        <w:tc>
          <w:tcPr>
            <w:tcW w:type="dxa" w:w="3427"/>
            <w:shd w:fill="2E2A3A"/>
            <w:tcMar>
              <w:top w:w="90" w:type="dxa"/>
              <w:start w:w="90" w:type="dxa"/>
              <w:bottom w:w="90" w:type="dxa"/>
              <w:end w:w="90" w:type="dxa"/>
            </w:tcMar>
            <w:vAlign w:val="center"/>
          </w:tcPr>
          <w:p>
            <w:r>
              <w:rPr>
                <w:b/>
                <w:color w:val="FFFFFF"/>
                <w:sz w:val="16"/>
              </w:rPr>
              <w:t>Term</w:t>
            </w:r>
          </w:p>
        </w:tc>
        <w:tc>
          <w:tcPr>
            <w:tcW w:type="dxa" w:w="3427"/>
            <w:shd w:fill="2E2A3A"/>
            <w:tcMar>
              <w:top w:w="90" w:type="dxa"/>
              <w:start w:w="90" w:type="dxa"/>
              <w:bottom w:w="90" w:type="dxa"/>
              <w:end w:w="90" w:type="dxa"/>
            </w:tcMar>
            <w:vAlign w:val="center"/>
          </w:tcPr>
          <w:p>
            <w:r>
              <w:rPr>
                <w:b/>
                <w:color w:val="FFFFFF"/>
                <w:sz w:val="16"/>
              </w:rPr>
              <w:t>Theme</w:t>
            </w:r>
          </w:p>
        </w:tc>
        <w:tc>
          <w:tcPr>
            <w:tcW w:type="dxa" w:w="3427"/>
            <w:shd w:fill="2E2A3A"/>
            <w:tcMar>
              <w:top w:w="90" w:type="dxa"/>
              <w:start w:w="90" w:type="dxa"/>
              <w:bottom w:w="90" w:type="dxa"/>
              <w:end w:w="90" w:type="dxa"/>
            </w:tcMar>
            <w:vAlign w:val="center"/>
          </w:tcPr>
          <w:p>
            <w:r>
              <w:rPr>
                <w:b/>
                <w:color w:val="FFFFFF"/>
                <w:sz w:val="16"/>
              </w:rPr>
              <w:t>Possible curriculum emphasis</w:t>
            </w:r>
          </w:p>
        </w:tc>
      </w:tr>
      <w:tr>
        <w:trPr>
          <w:cantSplit/>
        </w:trPr>
        <w:tc>
          <w:tcPr>
            <w:tcW w:type="dxa" w:w="1224"/>
            <w:shd w:fill="FFFFFF"/>
            <w:tcMar>
              <w:top w:w="90" w:type="dxa"/>
              <w:start w:w="90" w:type="dxa"/>
              <w:bottom w:w="90" w:type="dxa"/>
              <w:end w:w="90" w:type="dxa"/>
            </w:tcMar>
            <w:vAlign w:val="top"/>
          </w:tcPr>
          <w:p>
            <w:r>
              <w:rPr>
                <w:color w:val="2D2D33"/>
                <w:sz w:val="16"/>
              </w:rPr>
              <w:t>Autumn</w:t>
            </w:r>
          </w:p>
        </w:tc>
        <w:tc>
          <w:tcPr>
            <w:tcW w:type="dxa" w:w="2952"/>
            <w:shd w:fill="FFFFFF"/>
            <w:tcMar>
              <w:top w:w="90" w:type="dxa"/>
              <w:start w:w="90" w:type="dxa"/>
              <w:bottom w:w="90" w:type="dxa"/>
              <w:end w:w="90" w:type="dxa"/>
            </w:tcMar>
            <w:vAlign w:val="top"/>
          </w:tcPr>
          <w:p>
            <w:r>
              <w:rPr>
                <w:color w:val="2D2D33"/>
                <w:sz w:val="16"/>
              </w:rPr>
              <w:t>Environment &amp; Sustainability</w:t>
            </w:r>
          </w:p>
        </w:tc>
        <w:tc>
          <w:tcPr>
            <w:tcW w:type="dxa" w:w="5976"/>
            <w:shd w:fill="FFFFFF"/>
            <w:tcMar>
              <w:top w:w="90" w:type="dxa"/>
              <w:start w:w="90" w:type="dxa"/>
              <w:bottom w:w="90" w:type="dxa"/>
              <w:end w:w="90" w:type="dxa"/>
            </w:tcMar>
            <w:vAlign w:val="top"/>
          </w:tcPr>
          <w:p>
            <w:r>
              <w:rPr>
                <w:color w:val="2D2D33"/>
                <w:sz w:val="16"/>
              </w:rPr>
              <w:t>Outdoor education, stewardship, local environment, teamwork and practical challenge.</w:t>
            </w:r>
          </w:p>
        </w:tc>
      </w:tr>
      <w:tr>
        <w:trPr>
          <w:cantSplit/>
        </w:trPr>
        <w:tc>
          <w:tcPr>
            <w:tcW w:type="dxa" w:w="1224"/>
            <w:shd w:fill="F8F8F9"/>
            <w:tcMar>
              <w:top w:w="90" w:type="dxa"/>
              <w:start w:w="90" w:type="dxa"/>
              <w:bottom w:w="90" w:type="dxa"/>
              <w:end w:w="90" w:type="dxa"/>
            </w:tcMar>
            <w:vAlign w:val="top"/>
          </w:tcPr>
          <w:p>
            <w:r>
              <w:rPr>
                <w:color w:val="2D2D33"/>
                <w:sz w:val="16"/>
              </w:rPr>
              <w:t>Spring</w:t>
            </w:r>
          </w:p>
        </w:tc>
        <w:tc>
          <w:tcPr>
            <w:tcW w:type="dxa" w:w="2952"/>
            <w:shd w:fill="F8F8F9"/>
            <w:tcMar>
              <w:top w:w="90" w:type="dxa"/>
              <w:start w:w="90" w:type="dxa"/>
              <w:bottom w:w="90" w:type="dxa"/>
              <w:end w:w="90" w:type="dxa"/>
            </w:tcMar>
            <w:vAlign w:val="top"/>
          </w:tcPr>
          <w:p>
            <w:r>
              <w:rPr>
                <w:color w:val="2D2D33"/>
                <w:sz w:val="16"/>
              </w:rPr>
              <w:t>Community &amp; Citizenship</w:t>
            </w:r>
          </w:p>
        </w:tc>
        <w:tc>
          <w:tcPr>
            <w:tcW w:type="dxa" w:w="5976"/>
            <w:shd w:fill="F8F8F9"/>
            <w:tcMar>
              <w:top w:w="90" w:type="dxa"/>
              <w:start w:w="90" w:type="dxa"/>
              <w:bottom w:w="90" w:type="dxa"/>
              <w:end w:w="90" w:type="dxa"/>
            </w:tcMar>
            <w:vAlign w:val="top"/>
          </w:tcPr>
          <w:p>
            <w:r>
              <w:rPr>
                <w:color w:val="2D2D33"/>
                <w:sz w:val="16"/>
              </w:rPr>
              <w:t>Community participation, social action, citizenship, belonging and contribution.</w:t>
            </w:r>
          </w:p>
        </w:tc>
      </w:tr>
      <w:tr>
        <w:trPr>
          <w:cantSplit/>
        </w:trPr>
        <w:tc>
          <w:tcPr>
            <w:tcW w:type="dxa" w:w="1224"/>
            <w:shd w:fill="FFFFFF"/>
            <w:tcMar>
              <w:top w:w="90" w:type="dxa"/>
              <w:start w:w="90" w:type="dxa"/>
              <w:bottom w:w="90" w:type="dxa"/>
              <w:end w:w="90" w:type="dxa"/>
            </w:tcMar>
            <w:vAlign w:val="top"/>
          </w:tcPr>
          <w:p>
            <w:r>
              <w:rPr>
                <w:color w:val="2D2D33"/>
                <w:sz w:val="16"/>
              </w:rPr>
              <w:t>Summer</w:t>
            </w:r>
          </w:p>
        </w:tc>
        <w:tc>
          <w:tcPr>
            <w:tcW w:type="dxa" w:w="2952"/>
            <w:shd w:fill="FFFFFF"/>
            <w:tcMar>
              <w:top w:w="90" w:type="dxa"/>
              <w:start w:w="90" w:type="dxa"/>
              <w:bottom w:w="90" w:type="dxa"/>
              <w:end w:w="90" w:type="dxa"/>
            </w:tcMar>
            <w:vAlign w:val="top"/>
          </w:tcPr>
          <w:p>
            <w:r>
              <w:rPr>
                <w:color w:val="2D2D33"/>
                <w:sz w:val="16"/>
              </w:rPr>
              <w:t>Enterprise &amp; Futures</w:t>
            </w:r>
          </w:p>
        </w:tc>
        <w:tc>
          <w:tcPr>
            <w:tcW w:type="dxa" w:w="5976"/>
            <w:shd w:fill="FFFFFF"/>
            <w:tcMar>
              <w:top w:w="90" w:type="dxa"/>
              <w:start w:w="90" w:type="dxa"/>
              <w:bottom w:w="90" w:type="dxa"/>
              <w:end w:w="90" w:type="dxa"/>
            </w:tcMar>
            <w:vAlign w:val="top"/>
          </w:tcPr>
          <w:p>
            <w:r>
              <w:rPr>
                <w:color w:val="2D2D33"/>
                <w:sz w:val="16"/>
              </w:rPr>
              <w:t>Enterprise, employability, careers, creativity, problem solving and preparation for progression.</w:t>
            </w:r>
          </w:p>
        </w:tc>
      </w:tr>
    </w:tbl>
    <w:p>
      <w:r>
        <w:t>Activities may include outdoor education, creative learning, food, photography, sport, community projects, visits, enterprise challenges and other experiences selected for their educational value. The precise programme is reviewed annually.</w:t>
      </w:r>
    </w:p>
    <w:p>
      <w:pPr>
        <w:pStyle w:val="Heading1"/>
        <w:pBdr>
          <w:bottom w:val="single" w:sz="8" w:space="3" w:color="76B82A"/>
        </w:pBdr>
      </w:pPr>
      <w:r>
        <w:t>11. Careers and Preparation for Adulthood</w:t>
      </w:r>
    </w:p>
    <w:p>
      <w:r>
        <w:t>Preparation for life after Waterside is woven through the curriculum. Pupils need both qualifications and the practical knowledge, confidence and communication skills required to navigate adulthood. Careers learning therefore starts before Year 11 and becomes increasingly personalised as pupils approach transition.</w:t>
      </w:r>
    </w:p>
    <w:p>
      <w:pPr>
        <w:pStyle w:val="ListBullet"/>
        <w:spacing w:after="40"/>
      </w:pPr>
      <w:r>
        <w:t>Understanding personal strengths, interests and realistic future options.</w:t>
      </w:r>
    </w:p>
    <w:p>
      <w:pPr>
        <w:pStyle w:val="ListBullet"/>
        <w:spacing w:after="40"/>
      </w:pPr>
      <w:r>
        <w:t>Knowledge of college, training, apprenticeships, employment and other progression routes.</w:t>
      </w:r>
    </w:p>
    <w:p>
      <w:pPr>
        <w:pStyle w:val="ListBullet"/>
        <w:spacing w:after="40"/>
      </w:pPr>
      <w:r>
        <w:t>Application, interview, communication and workplace behaviours.</w:t>
      </w:r>
    </w:p>
    <w:p>
      <w:pPr>
        <w:pStyle w:val="ListBullet"/>
        <w:spacing w:after="40"/>
      </w:pPr>
      <w:r>
        <w:t>Practical independence, including travel, money, health, relationships, digital life and access to support.</w:t>
      </w:r>
    </w:p>
    <w:p>
      <w:pPr>
        <w:pStyle w:val="ListBullet"/>
        <w:spacing w:after="40"/>
      </w:pPr>
      <w:r>
        <w:t>Planned contact with employers, colleges, training providers and the wider community where appropriate.</w:t>
      </w:r>
    </w:p>
    <w:p>
      <w:pPr>
        <w:pStyle w:val="ListBullet"/>
        <w:spacing w:after="40"/>
      </w:pPr>
      <w:r>
        <w:t>A clear transition plan for pupils approaching the end of Key Stage 4.</w:t>
      </w:r>
    </w:p>
    <w:p>
      <w:pPr>
        <w:pStyle w:val="Heading1"/>
        <w:pBdr>
          <w:bottom w:val="single" w:sz="8" w:space="3" w:color="76B82A"/>
        </w:pBdr>
      </w:pPr>
      <w:r>
        <w:t>12. Implementation</w:t>
      </w:r>
    </w:p>
    <w:p>
      <w:r>
        <w:t>Curriculum intent is translated into day-to-day practice through the following expectations:</w:t>
      </w:r>
    </w:p>
    <w:p>
      <w:pPr>
        <w:spacing w:after="60"/>
      </w:pPr>
      <w:r>
        <w:rPr>
          <w:b/>
        </w:rPr>
        <w:t xml:space="preserve">Curriculum plans: </w:t>
      </w:r>
      <w:r>
        <w:t>Each subject has a coherent long-term and medium-term plan that identifies end points, key knowledge, sequence, assessment opportunities and qualification requirements where relevant.</w:t>
      </w:r>
    </w:p>
    <w:p>
      <w:pPr>
        <w:spacing w:after="60"/>
      </w:pPr>
      <w:r>
        <w:rPr>
          <w:b/>
        </w:rPr>
        <w:t xml:space="preserve">Teaching: </w:t>
      </w:r>
      <w:r>
        <w:t>Staff deliver the intended curriculum through the academy’s Teaching and Learning Policy and Practice Framework, including retrieval and revisiting, explicit instruction and modelling, guided practice, checking for understanding and adaptive and responsive teaching.</w:t>
      </w:r>
    </w:p>
    <w:p>
      <w:pPr>
        <w:spacing w:after="60"/>
      </w:pPr>
      <w:r>
        <w:rPr>
          <w:b/>
        </w:rPr>
        <w:t xml:space="preserve">Assessment: </w:t>
      </w:r>
      <w:r>
        <w:t>Baseline information, classroom assessment and Knowledge Check Points are used to identify gaps, evaluate learning and adapt future teaching.</w:t>
      </w:r>
    </w:p>
    <w:p>
      <w:pPr>
        <w:spacing w:after="60"/>
      </w:pPr>
      <w:r>
        <w:rPr>
          <w:b/>
        </w:rPr>
        <w:t xml:space="preserve">Intervention: </w:t>
      </w:r>
      <w:r>
        <w:t>Additional support is specific, time-limited where possible and reviewed against a clear intended impact.</w:t>
      </w:r>
    </w:p>
    <w:p>
      <w:pPr>
        <w:spacing w:after="60"/>
      </w:pPr>
      <w:r>
        <w:rPr>
          <w:b/>
        </w:rPr>
        <w:t xml:space="preserve">Staff development: </w:t>
      </w:r>
      <w:r>
        <w:t>Professional development and coaching support teachers to strengthen subject knowledge, curriculum delivery, adaptive teaching and consistent routines.</w:t>
      </w:r>
    </w:p>
    <w:p>
      <w:pPr>
        <w:spacing w:after="60"/>
      </w:pPr>
      <w:r>
        <w:rPr>
          <w:b/>
        </w:rPr>
        <w:t xml:space="preserve">Resources: </w:t>
      </w:r>
      <w:r>
        <w:t>Resources are selected to make the planned curriculum accessible and purposeful without replacing the curriculum with worksheets or undemanding activity.</w:t>
      </w:r>
    </w:p>
    <w:p>
      <w:pPr>
        <w:spacing w:after="60"/>
      </w:pPr>
      <w:r>
        <w:rPr>
          <w:b/>
        </w:rPr>
        <w:t xml:space="preserve">Attendance and access: </w:t>
      </w:r>
      <w:r>
        <w:t>Where attendance or participation is disrupted, staff identify priority knowledge and plan for pupils to reconnect with the sequence rather than simply continuing without addressing gaps.</w:t>
      </w:r>
    </w:p>
    <w:p>
      <w:pPr>
        <w:pStyle w:val="Heading1"/>
        <w:pBdr>
          <w:bottom w:val="single" w:sz="8" w:space="3" w:color="76B82A"/>
        </w:pBdr>
      </w:pPr>
      <w:r>
        <w:t>13. Off-site Learning and Alternative Provision</w:t>
      </w:r>
    </w:p>
    <w:p>
      <w:r>
        <w:t>Off-site learning may form part of an individual pupil’s curriculum where it provides a clear educational benefit that cannot be achieved as effectively through the on-site offer. It must complement, not replace without reason, the pupil’s entitlement to core learning and progression.</w:t>
      </w:r>
    </w:p>
    <w:p>
      <w:pPr>
        <w:pStyle w:val="ListBullet"/>
        <w:spacing w:after="40"/>
      </w:pPr>
      <w:r>
        <w:t>The purpose of the placement is explicit and linked to the pupil’s curriculum, needs and intended destination.</w:t>
      </w:r>
    </w:p>
    <w:p>
      <w:pPr>
        <w:pStyle w:val="ListBullet"/>
        <w:spacing w:after="40"/>
      </w:pPr>
      <w:r>
        <w:t>The planned timetable and learning outcomes are clear.</w:t>
      </w:r>
    </w:p>
    <w:p>
      <w:pPr>
        <w:pStyle w:val="ListBullet"/>
        <w:spacing w:after="40"/>
      </w:pPr>
      <w:r>
        <w:t>Attendance, engagement, safeguarding information and progress are routinely exchanged with Waterside.</w:t>
      </w:r>
    </w:p>
    <w:p>
      <w:pPr>
        <w:pStyle w:val="ListBullet"/>
        <w:spacing w:after="40"/>
      </w:pPr>
      <w:r>
        <w:t>The quality and suitability of provision are monitored rather than assumed.</w:t>
      </w:r>
    </w:p>
    <w:p>
      <w:pPr>
        <w:pStyle w:val="ListBullet"/>
        <w:spacing w:after="40"/>
      </w:pPr>
      <w:r>
        <w:t>The contribution of the placement to qualifications, personal development or progression is reviewed at agreed points.</w:t>
      </w:r>
    </w:p>
    <w:p>
      <w:pPr>
        <w:pStyle w:val="ListBullet"/>
        <w:spacing w:after="40"/>
      </w:pPr>
      <w:r>
        <w:t>Pupils not attending an off-site placement retain access to an appropriate on-site curriculum.</w:t>
      </w:r>
    </w:p>
    <w:p>
      <w:pPr>
        <w:pStyle w:val="Heading1"/>
        <w:pBdr>
          <w:bottom w:val="single" w:sz="8" w:space="3" w:color="76B82A"/>
        </w:pBdr>
      </w:pPr>
      <w:r>
        <w:t>14. Curriculum Impact</w:t>
      </w:r>
    </w:p>
    <w:p>
      <w:r>
        <w:t>In an alternative provision setting, curriculum impact is wider than examination results alone. Leaders evaluate whether the curriculum is helping pupils to know more, remember more, participate more successfully and move towards a positive next step. Academic outcomes remain important, but they are considered alongside engagement, personal development and destination evidence.</w:t>
      </w:r>
    </w:p>
    <w:tbl>
      <w:tblPr>
        <w:tblW w:type="auto" w:w="0"/>
        <w:jc w:val="center"/>
        <w:tblLayout w:type="fixed"/>
        <w:tblLook w:firstColumn="1" w:firstRow="1" w:lastColumn="0" w:lastRow="0" w:noHBand="0" w:noVBand="1" w:val="04A0"/>
        <w:tblBorders>
          <w:top w:val="single" w:sz="5" w:space="0" w:color="B7B7BF"/>
          <w:left w:val="single" w:sz="5" w:space="0" w:color="B7B7BF"/>
          <w:bottom w:val="single" w:sz="5" w:space="0" w:color="B7B7BF"/>
          <w:right w:val="single" w:sz="5" w:space="0" w:color="B7B7BF"/>
          <w:insideH w:val="single" w:sz="5" w:space="0" w:color="B7B7BF"/>
          <w:insideV w:val="single" w:sz="5" w:space="0" w:color="B7B7BF"/>
        </w:tblBorders>
      </w:tblPr>
      <w:tblGrid>
        <w:gridCol w:w="2880"/>
        <w:gridCol w:w="7344"/>
      </w:tblGrid>
      <w:tr>
        <w:trPr>
          <w:tblHeader w:val="true"/>
          <w:cantSplit/>
        </w:trPr>
        <w:tc>
          <w:tcPr>
            <w:tcW w:type="dxa" w:w="5141"/>
            <w:shd w:fill="2E2A3A"/>
            <w:tcMar>
              <w:top w:w="90" w:type="dxa"/>
              <w:start w:w="90" w:type="dxa"/>
              <w:bottom w:w="90" w:type="dxa"/>
              <w:end w:w="90" w:type="dxa"/>
            </w:tcMar>
            <w:vAlign w:val="center"/>
          </w:tcPr>
          <w:p>
            <w:r>
              <w:rPr>
                <w:b/>
                <w:color w:val="FFFFFF"/>
                <w:sz w:val="16"/>
              </w:rPr>
              <w:t>Impact measure</w:t>
            </w:r>
          </w:p>
        </w:tc>
        <w:tc>
          <w:tcPr>
            <w:tcW w:type="dxa" w:w="5141"/>
            <w:shd w:fill="2E2A3A"/>
            <w:tcMar>
              <w:top w:w="90" w:type="dxa"/>
              <w:start w:w="90" w:type="dxa"/>
              <w:bottom w:w="90" w:type="dxa"/>
              <w:end w:w="90" w:type="dxa"/>
            </w:tcMar>
            <w:vAlign w:val="center"/>
          </w:tcPr>
          <w:p>
            <w:r>
              <w:rPr>
                <w:b/>
                <w:color w:val="FFFFFF"/>
                <w:sz w:val="16"/>
              </w:rPr>
              <w:t>What we look for</w:t>
            </w:r>
          </w:p>
        </w:tc>
      </w:tr>
      <w:tr>
        <w:trPr>
          <w:cantSplit/>
        </w:trPr>
        <w:tc>
          <w:tcPr>
            <w:tcW w:type="dxa" w:w="2880"/>
            <w:shd w:fill="FFFFFF"/>
            <w:tcMar>
              <w:top w:w="90" w:type="dxa"/>
              <w:start w:w="90" w:type="dxa"/>
              <w:bottom w:w="90" w:type="dxa"/>
              <w:end w:w="90" w:type="dxa"/>
            </w:tcMar>
            <w:vAlign w:val="top"/>
          </w:tcPr>
          <w:p>
            <w:r>
              <w:rPr>
                <w:color w:val="2D2D33"/>
                <w:sz w:val="16"/>
              </w:rPr>
              <w:t>Academic learning</w:t>
            </w:r>
          </w:p>
        </w:tc>
        <w:tc>
          <w:tcPr>
            <w:tcW w:type="dxa" w:w="7344"/>
            <w:shd w:fill="FFFFFF"/>
            <w:tcMar>
              <w:top w:w="90" w:type="dxa"/>
              <w:start w:w="90" w:type="dxa"/>
              <w:bottom w:w="90" w:type="dxa"/>
              <w:end w:w="90" w:type="dxa"/>
            </w:tcMar>
            <w:vAlign w:val="top"/>
          </w:tcPr>
          <w:p>
            <w:r>
              <w:rPr>
                <w:color w:val="2D2D33"/>
                <w:sz w:val="16"/>
              </w:rPr>
              <w:t>Pupils make progress from their starting points, retain important knowledge and increasingly complete challenging work with independence.</w:t>
            </w:r>
          </w:p>
        </w:tc>
      </w:tr>
      <w:tr>
        <w:trPr>
          <w:cantSplit/>
        </w:trPr>
        <w:tc>
          <w:tcPr>
            <w:tcW w:type="dxa" w:w="2880"/>
            <w:shd w:fill="F8F8F9"/>
            <w:tcMar>
              <w:top w:w="90" w:type="dxa"/>
              <w:start w:w="90" w:type="dxa"/>
              <w:bottom w:w="90" w:type="dxa"/>
              <w:end w:w="90" w:type="dxa"/>
            </w:tcMar>
            <w:vAlign w:val="top"/>
          </w:tcPr>
          <w:p>
            <w:r>
              <w:rPr>
                <w:color w:val="2D2D33"/>
                <w:sz w:val="16"/>
              </w:rPr>
              <w:t>Qualifications and accreditation</w:t>
            </w:r>
          </w:p>
        </w:tc>
        <w:tc>
          <w:tcPr>
            <w:tcW w:type="dxa" w:w="7344"/>
            <w:shd w:fill="F8F8F9"/>
            <w:tcMar>
              <w:top w:w="90" w:type="dxa"/>
              <w:start w:w="90" w:type="dxa"/>
              <w:bottom w:w="90" w:type="dxa"/>
              <w:end w:w="90" w:type="dxa"/>
            </w:tcMar>
            <w:vAlign w:val="top"/>
          </w:tcPr>
          <w:p>
            <w:r>
              <w:rPr>
                <w:color w:val="2D2D33"/>
                <w:sz w:val="16"/>
              </w:rPr>
              <w:t>Pupils achieve appropriate recognised outcomes and are entered for qualifications that reflect ambition and realistic success.</w:t>
            </w:r>
          </w:p>
        </w:tc>
      </w:tr>
      <w:tr>
        <w:trPr>
          <w:cantSplit/>
        </w:trPr>
        <w:tc>
          <w:tcPr>
            <w:tcW w:type="dxa" w:w="2880"/>
            <w:shd w:fill="FFFFFF"/>
            <w:tcMar>
              <w:top w:w="90" w:type="dxa"/>
              <w:start w:w="90" w:type="dxa"/>
              <w:bottom w:w="90" w:type="dxa"/>
              <w:end w:w="90" w:type="dxa"/>
            </w:tcMar>
            <w:vAlign w:val="top"/>
          </w:tcPr>
          <w:p>
            <w:r>
              <w:rPr>
                <w:color w:val="2D2D33"/>
                <w:sz w:val="16"/>
              </w:rPr>
              <w:t>Reading and communication</w:t>
            </w:r>
          </w:p>
        </w:tc>
        <w:tc>
          <w:tcPr>
            <w:tcW w:type="dxa" w:w="7344"/>
            <w:shd w:fill="FFFFFF"/>
            <w:tcMar>
              <w:top w:w="90" w:type="dxa"/>
              <w:start w:w="90" w:type="dxa"/>
              <w:bottom w:w="90" w:type="dxa"/>
              <w:end w:w="90" w:type="dxa"/>
            </w:tcMar>
            <w:vAlign w:val="top"/>
          </w:tcPr>
          <w:p>
            <w:r>
              <w:rPr>
                <w:color w:val="2D2D33"/>
                <w:sz w:val="16"/>
              </w:rPr>
              <w:t>Pupils become more fluent, confident and precise readers and communicators, with barriers identified and addressed.</w:t>
            </w:r>
          </w:p>
        </w:tc>
      </w:tr>
      <w:tr>
        <w:trPr>
          <w:cantSplit/>
        </w:trPr>
        <w:tc>
          <w:tcPr>
            <w:tcW w:type="dxa" w:w="2880"/>
            <w:shd w:fill="F8F8F9"/>
            <w:tcMar>
              <w:top w:w="90" w:type="dxa"/>
              <w:start w:w="90" w:type="dxa"/>
              <w:bottom w:w="90" w:type="dxa"/>
              <w:end w:w="90" w:type="dxa"/>
            </w:tcMar>
            <w:vAlign w:val="top"/>
          </w:tcPr>
          <w:p>
            <w:r>
              <w:rPr>
                <w:color w:val="2D2D33"/>
                <w:sz w:val="16"/>
              </w:rPr>
              <w:t>Engagement and attendance</w:t>
            </w:r>
          </w:p>
        </w:tc>
        <w:tc>
          <w:tcPr>
            <w:tcW w:type="dxa" w:w="7344"/>
            <w:shd w:fill="F8F8F9"/>
            <w:tcMar>
              <w:top w:w="90" w:type="dxa"/>
              <w:start w:w="90" w:type="dxa"/>
              <w:bottom w:w="90" w:type="dxa"/>
              <w:end w:w="90" w:type="dxa"/>
            </w:tcMar>
            <w:vAlign w:val="top"/>
          </w:tcPr>
          <w:p>
            <w:r>
              <w:rPr>
                <w:color w:val="2D2D33"/>
                <w:sz w:val="16"/>
              </w:rPr>
              <w:t>Pupils participate more consistently in learning and are increasingly able to sustain routines, effort and attendance.</w:t>
            </w:r>
          </w:p>
        </w:tc>
      </w:tr>
      <w:tr>
        <w:trPr>
          <w:cantSplit/>
        </w:trPr>
        <w:tc>
          <w:tcPr>
            <w:tcW w:type="dxa" w:w="2880"/>
            <w:shd w:fill="FFFFFF"/>
            <w:tcMar>
              <w:top w:w="90" w:type="dxa"/>
              <w:start w:w="90" w:type="dxa"/>
              <w:bottom w:w="90" w:type="dxa"/>
              <w:end w:w="90" w:type="dxa"/>
            </w:tcMar>
            <w:vAlign w:val="top"/>
          </w:tcPr>
          <w:p>
            <w:r>
              <w:rPr>
                <w:color w:val="2D2D33"/>
                <w:sz w:val="16"/>
              </w:rPr>
              <w:t>Personal development</w:t>
            </w:r>
          </w:p>
        </w:tc>
        <w:tc>
          <w:tcPr>
            <w:tcW w:type="dxa" w:w="7344"/>
            <w:shd w:fill="FFFFFF"/>
            <w:tcMar>
              <w:top w:w="90" w:type="dxa"/>
              <w:start w:w="90" w:type="dxa"/>
              <w:bottom w:w="90" w:type="dxa"/>
              <w:end w:w="90" w:type="dxa"/>
            </w:tcMar>
            <w:vAlign w:val="top"/>
          </w:tcPr>
          <w:p>
            <w:r>
              <w:rPr>
                <w:color w:val="2D2D33"/>
                <w:sz w:val="16"/>
              </w:rPr>
              <w:t>Pupils demonstrate growing confidence, resilience, self-regulation, responsibility and understanding of how to keep themselves and others safe.</w:t>
            </w:r>
          </w:p>
        </w:tc>
      </w:tr>
      <w:tr>
        <w:trPr>
          <w:cantSplit/>
        </w:trPr>
        <w:tc>
          <w:tcPr>
            <w:tcW w:type="dxa" w:w="2880"/>
            <w:shd w:fill="F8F8F9"/>
            <w:tcMar>
              <w:top w:w="90" w:type="dxa"/>
              <w:start w:w="90" w:type="dxa"/>
              <w:bottom w:w="90" w:type="dxa"/>
              <w:end w:w="90" w:type="dxa"/>
            </w:tcMar>
            <w:vAlign w:val="top"/>
          </w:tcPr>
          <w:p>
            <w:r>
              <w:rPr>
                <w:color w:val="2D2D33"/>
                <w:sz w:val="16"/>
              </w:rPr>
              <w:t>Breadth and participation</w:t>
            </w:r>
          </w:p>
        </w:tc>
        <w:tc>
          <w:tcPr>
            <w:tcW w:type="dxa" w:w="7344"/>
            <w:shd w:fill="F8F8F9"/>
            <w:tcMar>
              <w:top w:w="90" w:type="dxa"/>
              <w:start w:w="90" w:type="dxa"/>
              <w:bottom w:w="90" w:type="dxa"/>
              <w:end w:w="90" w:type="dxa"/>
            </w:tcMar>
            <w:vAlign w:val="top"/>
          </w:tcPr>
          <w:p>
            <w:r>
              <w:rPr>
                <w:color w:val="2D2D33"/>
                <w:sz w:val="16"/>
              </w:rPr>
              <w:t>Pupils access experiences beyond the core curriculum and can identify strengths, interests and achievements.</w:t>
            </w:r>
          </w:p>
        </w:tc>
      </w:tr>
      <w:tr>
        <w:trPr>
          <w:cantSplit/>
        </w:trPr>
        <w:tc>
          <w:tcPr>
            <w:tcW w:type="dxa" w:w="2880"/>
            <w:shd w:fill="FFFFFF"/>
            <w:tcMar>
              <w:top w:w="90" w:type="dxa"/>
              <w:start w:w="90" w:type="dxa"/>
              <w:bottom w:w="90" w:type="dxa"/>
              <w:end w:w="90" w:type="dxa"/>
            </w:tcMar>
            <w:vAlign w:val="top"/>
          </w:tcPr>
          <w:p>
            <w:r>
              <w:rPr>
                <w:color w:val="2D2D33"/>
                <w:sz w:val="16"/>
              </w:rPr>
              <w:t>Destinations</w:t>
            </w:r>
          </w:p>
        </w:tc>
        <w:tc>
          <w:tcPr>
            <w:tcW w:type="dxa" w:w="7344"/>
            <w:shd w:fill="FFFFFF"/>
            <w:tcMar>
              <w:top w:w="90" w:type="dxa"/>
              <w:start w:w="90" w:type="dxa"/>
              <w:bottom w:w="90" w:type="dxa"/>
              <w:end w:w="90" w:type="dxa"/>
            </w:tcMar>
            <w:vAlign w:val="top"/>
          </w:tcPr>
          <w:p>
            <w:r>
              <w:rPr>
                <w:color w:val="2D2D33"/>
                <w:sz w:val="16"/>
              </w:rPr>
              <w:t>Pupils leave with a planned and supported next step in education, employment or training, with transition work completed in good time.</w:t>
            </w:r>
          </w:p>
        </w:tc>
      </w:tr>
      <w:tr>
        <w:trPr>
          <w:cantSplit/>
        </w:trPr>
        <w:tc>
          <w:tcPr>
            <w:tcW w:type="dxa" w:w="2880"/>
            <w:shd w:fill="F8F8F9"/>
            <w:tcMar>
              <w:top w:w="90" w:type="dxa"/>
              <w:start w:w="90" w:type="dxa"/>
              <w:bottom w:w="90" w:type="dxa"/>
              <w:end w:w="90" w:type="dxa"/>
            </w:tcMar>
            <w:vAlign w:val="top"/>
          </w:tcPr>
          <w:p>
            <w:r>
              <w:rPr>
                <w:color w:val="2D2D33"/>
                <w:sz w:val="16"/>
              </w:rPr>
              <w:t>Pupil voice</w:t>
            </w:r>
          </w:p>
        </w:tc>
        <w:tc>
          <w:tcPr>
            <w:tcW w:type="dxa" w:w="7344"/>
            <w:shd w:fill="F8F8F9"/>
            <w:tcMar>
              <w:top w:w="90" w:type="dxa"/>
              <w:start w:w="90" w:type="dxa"/>
              <w:bottom w:w="90" w:type="dxa"/>
              <w:end w:w="90" w:type="dxa"/>
            </w:tcMar>
            <w:vAlign w:val="top"/>
          </w:tcPr>
          <w:p>
            <w:r>
              <w:rPr>
                <w:color w:val="2D2D33"/>
                <w:sz w:val="16"/>
              </w:rPr>
              <w:t>Pupils can explain what they are learning, why it matters and how their curriculum connects to their future.</w:t>
            </w:r>
          </w:p>
        </w:tc>
      </w:tr>
    </w:tbl>
    <w:p>
      <w:pPr>
        <w:pStyle w:val="Heading1"/>
        <w:pBdr>
          <w:bottom w:val="single" w:sz="8" w:space="3" w:color="76B82A"/>
        </w:pBdr>
      </w:pPr>
      <w:r>
        <w:t>15. Quality Assurance</w:t>
      </w:r>
    </w:p>
    <w:p>
      <w:r>
        <w:t>Curriculum quality assurance focuses on whether the intended curriculum is being implemented consistently and whether it is having the intended impact. No single activity is used in isolation. Leaders build a picture over time from multiple sources of evidence.</w:t>
      </w:r>
    </w:p>
    <w:p>
      <w:pPr>
        <w:pStyle w:val="ListBullet"/>
        <w:spacing w:after="40"/>
      </w:pPr>
      <w:r>
        <w:t>Review of curriculum maps, subject plans and qualification pathways.</w:t>
      </w:r>
    </w:p>
    <w:p>
      <w:pPr>
        <w:pStyle w:val="ListBullet"/>
        <w:spacing w:after="40"/>
      </w:pPr>
      <w:r>
        <w:t>Learning walks and lesson observations.</w:t>
      </w:r>
    </w:p>
    <w:p>
      <w:pPr>
        <w:pStyle w:val="ListBullet"/>
        <w:spacing w:after="40"/>
      </w:pPr>
      <w:r>
        <w:t>Work scrutiny and review of the standard and sequence of pupils’ work.</w:t>
      </w:r>
    </w:p>
    <w:p>
      <w:pPr>
        <w:pStyle w:val="ListBullet"/>
        <w:spacing w:after="40"/>
      </w:pPr>
      <w:r>
        <w:t>Assessment information and analysis of Knowledge Check Points.</w:t>
      </w:r>
    </w:p>
    <w:p>
      <w:pPr>
        <w:pStyle w:val="ListBullet"/>
        <w:spacing w:after="40"/>
      </w:pPr>
      <w:r>
        <w:t>Pupil voice, including pupils’ understanding of what they are learning and where it is leading.</w:t>
      </w:r>
    </w:p>
    <w:p>
      <w:pPr>
        <w:pStyle w:val="ListBullet"/>
        <w:spacing w:after="40"/>
      </w:pPr>
      <w:r>
        <w:t>Staff and subject leader dialogue.</w:t>
      </w:r>
    </w:p>
    <w:p>
      <w:pPr>
        <w:pStyle w:val="ListBullet"/>
        <w:spacing w:after="40"/>
      </w:pPr>
      <w:r>
        <w:t>Review of participation, attendance and intervention impact.</w:t>
      </w:r>
    </w:p>
    <w:p>
      <w:pPr>
        <w:pStyle w:val="ListBullet"/>
        <w:spacing w:after="40"/>
      </w:pPr>
      <w:r>
        <w:t>Quality assurance of off-site provision and evidence of progress towards intended outcomes.</w:t>
      </w:r>
    </w:p>
    <w:p>
      <w:pPr>
        <w:pStyle w:val="ListBullet"/>
        <w:spacing w:after="40"/>
      </w:pPr>
      <w:r>
        <w:t>Review of qualifications, accreditation and post-16 destinations.</w:t>
      </w:r>
    </w:p>
    <w:p>
      <w:pPr>
        <w:pStyle w:val="Heading1"/>
        <w:pBdr>
          <w:bottom w:val="single" w:sz="8" w:space="3" w:color="76B82A"/>
        </w:pBdr>
      </w:pPr>
      <w:r>
        <w:t>16. Roles and Responsibilities</w:t>
      </w:r>
    </w:p>
    <w:p>
      <w:pPr>
        <w:spacing w:after="60"/>
      </w:pPr>
      <w:r>
        <w:rPr>
          <w:b/>
        </w:rPr>
        <w:t xml:space="preserve">Senior leaders: </w:t>
      </w:r>
      <w:r>
        <w:t>Set the curriculum vision, secure appropriate breadth and resourcing, ensure coherence across the academy and evaluate curriculum impact.</w:t>
      </w:r>
    </w:p>
    <w:p>
      <w:pPr>
        <w:spacing w:after="60"/>
      </w:pPr>
      <w:r>
        <w:rPr>
          <w:b/>
        </w:rPr>
        <w:t xml:space="preserve">Curriculum and subject leaders: </w:t>
      </w:r>
      <w:r>
        <w:t>Define subject intent and end points, maintain coherent sequencing, support staff with subject knowledge and monitor implementation and impact.</w:t>
      </w:r>
    </w:p>
    <w:p>
      <w:pPr>
        <w:spacing w:after="60"/>
      </w:pPr>
      <w:r>
        <w:rPr>
          <w:b/>
        </w:rPr>
        <w:t xml:space="preserve">Teachers: </w:t>
      </w:r>
      <w:r>
        <w:t>Know and deliver the planned curriculum, identify gaps in prior knowledge, make adaptive and responsive teaching decisions without lowering ambition, assess learning and contribute to curriculum review.</w:t>
      </w:r>
    </w:p>
    <w:p>
      <w:pPr>
        <w:spacing w:after="60"/>
      </w:pPr>
      <w:r>
        <w:rPr>
          <w:b/>
        </w:rPr>
        <w:t xml:space="preserve">Pastoral and support staff: </w:t>
      </w:r>
      <w:r>
        <w:t>Support access, communication, routines, attendance and increasing independence while maintaining a clear connection to curriculum goals.</w:t>
      </w:r>
    </w:p>
    <w:p>
      <w:pPr>
        <w:spacing w:after="60"/>
      </w:pPr>
      <w:r>
        <w:rPr>
          <w:b/>
        </w:rPr>
        <w:t xml:space="preserve">Staff overseeing off-site provision: </w:t>
      </w:r>
      <w:r>
        <w:t>Ensure placements are appropriate, safe, monitored and demonstrably contributing to the pupil’s curriculum and destination.</w:t>
      </w:r>
    </w:p>
    <w:p>
      <w:pPr>
        <w:spacing w:after="60"/>
      </w:pPr>
      <w:r>
        <w:rPr>
          <w:b/>
        </w:rPr>
        <w:t xml:space="preserve">Pupils: </w:t>
      </w:r>
      <w:r>
        <w:t>Are encouraged to understand their curriculum pathway, engage with learning, reflect on progress and contribute views about their experience.</w:t>
      </w:r>
    </w:p>
    <w:p>
      <w:pPr>
        <w:spacing w:after="60"/>
      </w:pPr>
      <w:r>
        <w:rPr>
          <w:b/>
        </w:rPr>
        <w:t xml:space="preserve">Parents and carers: </w:t>
      </w:r>
      <w:r>
        <w:t>Are kept informed about curriculum pathways, progress and key decisions, and are encouraged to contribute to planning for next steps.</w:t>
      </w:r>
    </w:p>
    <w:p>
      <w:pPr>
        <w:pStyle w:val="Heading1"/>
        <w:pBdr>
          <w:bottom w:val="single" w:sz="8" w:space="3" w:color="76B82A"/>
        </w:pBdr>
      </w:pPr>
      <w:r>
        <w:t>17. Inclusion, Equality and Access</w:t>
      </w:r>
    </w:p>
    <w:p>
      <w:r>
        <w:t>Inclusion is a defining curriculum value. The academy seeks to remove barriers to participation and achievement while protecting access to ambitious knowledge and meaningful outcomes. Adaptation may include additional explanation, scaffolding, alternative ways of practising or demonstrating knowledge, targeted literacy or numeracy work, personalised pacing, specialist support or a carefully constructed alternative pathway. Decisions should be based on identified need and reviewed for their impact.</w:t>
      </w:r>
    </w:p>
    <w:p>
      <w:r>
        <w:t>Curriculum decisions should not create unnecessary ceilings. Where a pupil requires a different route, leaders remain responsible for ensuring that the pathway is purposeful, sufficiently broad and clearly connected to the next stage of education, training or employment.</w:t>
      </w:r>
    </w:p>
    <w:p>
      <w:pPr>
        <w:pStyle w:val="Heading1"/>
        <w:pBdr>
          <w:bottom w:val="single" w:sz="8" w:space="3" w:color="76B82A"/>
        </w:pBdr>
      </w:pPr>
      <w:r>
        <w:t>18. Monitoring and Review</w:t>
      </w:r>
    </w:p>
    <w:p>
      <w:r>
        <w:t>The Senior Leadership Team will review this policy annually, or earlier where curriculum evaluation, changes to the pupil cohort, qualification requirements or academy priorities make this necessary. The review will draw on quality assurance, assessment, staff and pupil feedback, participation data, qualification outcomes, off-site provision monitoring and destination information.</w:t>
      </w:r>
    </w:p>
    <w:p>
      <w:pPr>
        <w:pStyle w:val="Heading1"/>
        <w:pBdr>
          <w:bottom w:val="single" w:sz="8" w:space="3" w:color="76B82A"/>
        </w:pBdr>
        <w:pageBreakBefore w:val="1"/>
      </w:pPr>
      <w:r>
        <w:t>19. Policy Approval</w:t>
      </w:r>
    </w:p>
    <w:p>
      <w:r>
        <w:t>This policy should be approved through the academy’s agreed governance arrangements and reviewed in line with the cycle shown below.</w:t>
      </w:r>
    </w:p>
    <w:tbl>
      <w:tblPr>
        <w:tblW w:type="auto" w:w="0"/>
        <w:jc w:val="center"/>
        <w:tblLayout w:type="fixed"/>
        <w:tblLook w:firstColumn="1" w:firstRow="1" w:lastColumn="0" w:lastRow="0" w:noHBand="0" w:noVBand="1" w:val="04A0"/>
        <w:tblBorders>
          <w:top w:val="single" w:sz="5" w:space="0" w:color="B7B7BF"/>
          <w:left w:val="single" w:sz="5" w:space="0" w:color="B7B7BF"/>
          <w:bottom w:val="single" w:sz="5" w:space="0" w:color="B7B7BF"/>
          <w:right w:val="single" w:sz="5" w:space="0" w:color="B7B7BF"/>
          <w:insideH w:val="single" w:sz="5" w:space="0" w:color="B7B7BF"/>
          <w:insideV w:val="single" w:sz="5" w:space="0" w:color="B7B7BF"/>
        </w:tblBorders>
      </w:tblPr>
      <w:tblGrid>
        <w:gridCol w:w="2448"/>
        <w:gridCol w:w="2448"/>
        <w:gridCol w:w="2448"/>
        <w:gridCol w:w="2448"/>
      </w:tblGrid>
      <w:tr>
        <w:trPr>
          <w:tblHeader w:val="true"/>
          <w:cantSplit/>
        </w:trPr>
        <w:tc>
          <w:tcPr>
            <w:tcW w:type="dxa" w:w="2570"/>
            <w:shd w:fill="2E2A3A"/>
            <w:tcMar>
              <w:top w:w="90" w:type="dxa"/>
              <w:start w:w="90" w:type="dxa"/>
              <w:bottom w:w="90" w:type="dxa"/>
              <w:end w:w="90" w:type="dxa"/>
            </w:tcMar>
            <w:vAlign w:val="center"/>
          </w:tcPr>
          <w:p>
            <w:r>
              <w:rPr>
                <w:b/>
                <w:color w:val="FFFFFF"/>
                <w:sz w:val="17"/>
              </w:rPr>
              <w:t>Approved by</w:t>
            </w:r>
          </w:p>
        </w:tc>
        <w:tc>
          <w:tcPr>
            <w:tcW w:type="dxa" w:w="2570"/>
            <w:shd w:fill="2E2A3A"/>
            <w:tcMar>
              <w:top w:w="90" w:type="dxa"/>
              <w:start w:w="90" w:type="dxa"/>
              <w:bottom w:w="90" w:type="dxa"/>
              <w:end w:w="90" w:type="dxa"/>
            </w:tcMar>
            <w:vAlign w:val="center"/>
          </w:tcPr>
          <w:p>
            <w:r>
              <w:rPr>
                <w:b/>
                <w:color w:val="FFFFFF"/>
                <w:sz w:val="17"/>
              </w:rPr>
              <w:t>Date approved</w:t>
            </w:r>
          </w:p>
        </w:tc>
        <w:tc>
          <w:tcPr>
            <w:tcW w:type="dxa" w:w="2570"/>
            <w:shd w:fill="2E2A3A"/>
            <w:tcMar>
              <w:top w:w="90" w:type="dxa"/>
              <w:start w:w="90" w:type="dxa"/>
              <w:bottom w:w="90" w:type="dxa"/>
              <w:end w:w="90" w:type="dxa"/>
            </w:tcMar>
            <w:vAlign w:val="center"/>
          </w:tcPr>
          <w:p>
            <w:r>
              <w:rPr>
                <w:b/>
                <w:color w:val="FFFFFF"/>
                <w:sz w:val="17"/>
              </w:rPr>
              <w:t>Next review</w:t>
            </w:r>
          </w:p>
        </w:tc>
        <w:tc>
          <w:tcPr>
            <w:tcW w:type="dxa" w:w="2570"/>
            <w:shd w:fill="2E2A3A"/>
            <w:tcMar>
              <w:top w:w="90" w:type="dxa"/>
              <w:start w:w="90" w:type="dxa"/>
              <w:bottom w:w="90" w:type="dxa"/>
              <w:end w:w="90" w:type="dxa"/>
            </w:tcMar>
            <w:vAlign w:val="center"/>
          </w:tcPr>
          <w:p>
            <w:r>
              <w:rPr>
                <w:b/>
                <w:color w:val="FFFFFF"/>
                <w:sz w:val="17"/>
              </w:rPr>
              <w:t>Signed</w:t>
            </w:r>
          </w:p>
        </w:tc>
      </w:tr>
      <w:tr>
        <w:trPr>
          <w:cantSplit/>
        </w:trPr>
        <w:tc>
          <w:tcPr>
            <w:tcW w:type="dxa" w:w="2448"/>
            <w:shd w:fill="FFFFFF"/>
            <w:tcMar>
              <w:top w:w="90" w:type="dxa"/>
              <w:start w:w="90" w:type="dxa"/>
              <w:bottom w:w="90" w:type="dxa"/>
              <w:end w:w="90" w:type="dxa"/>
            </w:tcMar>
            <w:vAlign w:val="top"/>
          </w:tcPr>
          <w:p>
            <w:r>
              <w:rPr>
                <w:color w:val="2D2D33"/>
                <w:sz w:val="17"/>
              </w:rPr>
            </w:r>
          </w:p>
        </w:tc>
        <w:tc>
          <w:tcPr>
            <w:tcW w:type="dxa" w:w="2448"/>
            <w:shd w:fill="FFFFFF"/>
            <w:tcMar>
              <w:top w:w="90" w:type="dxa"/>
              <w:start w:w="90" w:type="dxa"/>
              <w:bottom w:w="90" w:type="dxa"/>
              <w:end w:w="90" w:type="dxa"/>
            </w:tcMar>
            <w:vAlign w:val="top"/>
          </w:tcPr>
          <w:p>
            <w:r>
              <w:rPr>
                <w:color w:val="2D2D33"/>
                <w:sz w:val="17"/>
              </w:rPr>
            </w:r>
          </w:p>
        </w:tc>
        <w:tc>
          <w:tcPr>
            <w:tcW w:type="dxa" w:w="2448"/>
            <w:shd w:fill="FFFFFF"/>
            <w:tcMar>
              <w:top w:w="90" w:type="dxa"/>
              <w:start w:w="90" w:type="dxa"/>
              <w:bottom w:w="90" w:type="dxa"/>
              <w:end w:w="90" w:type="dxa"/>
            </w:tcMar>
            <w:vAlign w:val="top"/>
          </w:tcPr>
          <w:p>
            <w:r>
              <w:rPr>
                <w:color w:val="2D2D33"/>
                <w:sz w:val="17"/>
              </w:rPr>
            </w:r>
          </w:p>
        </w:tc>
        <w:tc>
          <w:tcPr>
            <w:tcW w:type="dxa" w:w="2448"/>
            <w:shd w:fill="FFFFFF"/>
            <w:tcMar>
              <w:top w:w="90" w:type="dxa"/>
              <w:start w:w="90" w:type="dxa"/>
              <w:bottom w:w="90" w:type="dxa"/>
              <w:end w:w="90" w:type="dxa"/>
            </w:tcMar>
            <w:vAlign w:val="top"/>
          </w:tcPr>
          <w:p>
            <w:r>
              <w:rPr>
                <w:color w:val="2D2D33"/>
                <w:sz w:val="17"/>
              </w:rPr>
            </w:r>
          </w:p>
        </w:tc>
      </w:tr>
    </w:tbl>
    <w:p>
      <w:pPr>
        <w:pStyle w:val="Heading2"/>
      </w:pPr>
      <w:r>
        <w:t>Related Policies and Frameworks</w:t>
      </w:r>
    </w:p>
    <w:p>
      <w:r>
        <w:t>This policy should be read alongside the Teaching and Learning Policy and Practice Framework, assessment and feedback arrangements, SEND policy, safeguarding and child protection policy, behaviour policy, careers programme and procedures for commissioning and quality assuring off-site alternative provision.</w:t>
      </w:r>
    </w:p>
    <w:p>
      <w:pPr>
        <w:spacing w:before="240"/>
        <w:jc w:val="center"/>
      </w:pPr>
      <w:r>
        <w:rPr>
          <w:b/>
          <w:color w:val="76B82A"/>
          <w:sz w:val="18"/>
        </w:rPr>
        <w:t>I CAN: Inclusion  •  Communication  •  Aspiration  •  Nurture</w:t>
      </w:r>
    </w:p>
    <w:sectPr w:rsidR="00FC693F" w:rsidRPr="0006063C" w:rsidSect="00034616">
      <w:headerReference w:type="default" r:id="rId9"/>
      <w:footerReference w:type="default" r:id="rId10"/>
      <w:pgSz w:w="12240" w:h="15840"/>
      <w:pgMar w:top="893" w:right="979" w:bottom="893" w:left="979" w:header="317" w:footer="36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7D7D82"/>
        <w:sz w:val="15"/>
      </w:rPr>
      <w:t xml:space="preserve">Waterside Academy  |  Curriculum Policy  |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jc w:val="center"/>
      <w:tblLayout w:type="fixed"/>
      <w:tblLook w:firstColumn="1" w:firstRow="1" w:lastColumn="0" w:lastRow="0" w:noHBand="0" w:noVBand="1" w:val="04A0"/>
      <w:tblBorders>
        <w:bottom w:val="single" w:sz="12" w:color="76B82A"/>
      </w:tblBorders>
    </w:tblPr>
    <w:tblGrid>
      <w:gridCol w:w="792"/>
      <w:gridCol w:w="9360"/>
    </w:tblGrid>
    <w:tr>
      <w:tc>
        <w:tcPr>
          <w:tcW w:type="dxa" w:w="792"/>
          <w:tcMar>
            <w:top w:w="0" w:type="dxa"/>
            <w:start w:w="0" w:type="dxa"/>
            <w:bottom w:w="45" w:type="dxa"/>
            <w:end w:w="0" w:type="dxa"/>
          </w:tcMar>
        </w:tcPr>
        <w:p>
          <w:pPr>
            <w:jc w:val="left"/>
          </w:pPr>
          <w:r>
            <w:drawing>
              <wp:inline xmlns:a="http://schemas.openxmlformats.org/drawingml/2006/main" xmlns:pic="http://schemas.openxmlformats.org/drawingml/2006/picture">
                <wp:extent cx="365760" cy="304886"/>
                <wp:docPr id="1" name="Picture 1"/>
                <wp:cNvGraphicFramePr>
                  <a:graphicFrameLocks noChangeAspect="1"/>
                </wp:cNvGraphicFramePr>
                <a:graphic>
                  <a:graphicData uri="http://schemas.openxmlformats.org/drawingml/2006/picture">
                    <pic:pic>
                      <pic:nvPicPr>
                        <pic:cNvPr id="0" name="Waterside_Academy OL (1).png"/>
                        <pic:cNvPicPr/>
                      </pic:nvPicPr>
                      <pic:blipFill>
                        <a:blip r:embed="rId1"/>
                        <a:stretch>
                          <a:fillRect/>
                        </a:stretch>
                      </pic:blipFill>
                      <pic:spPr>
                        <a:xfrm>
                          <a:off x="0" y="0"/>
                          <a:ext cx="365760" cy="304886"/>
                        </a:xfrm>
                        <a:prstGeom prst="rect"/>
                      </pic:spPr>
                    </pic:pic>
                  </a:graphicData>
                </a:graphic>
              </wp:inline>
            </w:drawing>
          </w:r>
        </w:p>
      </w:tc>
      <w:tc>
        <w:tcPr>
          <w:tcW w:type="dxa" w:w="9360"/>
          <w:tcMar>
            <w:top w:w="0" w:type="dxa"/>
            <w:start w:w="0" w:type="dxa"/>
            <w:bottom w:w="45" w:type="dxa"/>
            <w:end w:w="0" w:type="dxa"/>
          </w:tcMar>
        </w:tcPr>
        <w:p>
          <w:pPr>
            <w:jc w:val="right"/>
          </w:pPr>
          <w:r>
            <w:rPr>
              <w:rFonts w:ascii="Arial" w:hAnsi="Arial"/>
              <w:b/>
              <w:color w:val="2E2A3A"/>
              <w:sz w:val="16"/>
            </w:rPr>
            <w:t>CURRICULUM POLICY</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rial" w:hAnsi="Arial" w:eastAsia="Arial"/>
      <w:color w:val="2D2D33"/>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Arial" w:hAnsi="Arial" w:eastAsia="Arial"/>
      <w:b/>
      <w:bCs/>
      <w:color w:val="2E2A3A"/>
      <w:sz w:val="30"/>
      <w:szCs w:val="28"/>
    </w:rPr>
  </w:style>
  <w:style w:type="paragraph" w:styleId="Heading2">
    <w:name w:val="heading 2"/>
    <w:basedOn w:val="Normal"/>
    <w:next w:val="Normal"/>
    <w:link w:val="Heading2Char"/>
    <w:uiPriority w:val="9"/>
    <w:unhideWhenUsed/>
    <w:qFormat/>
    <w:rsid w:val="00FC693F"/>
    <w:pPr>
      <w:keepNext/>
      <w:keepLines/>
      <w:spacing w:before="180" w:after="60"/>
      <w:outlineLvl w:val="1"/>
    </w:pPr>
    <w:rPr>
      <w:rFonts w:asciiTheme="majorHAnsi" w:eastAsiaTheme="majorEastAsia" w:hAnsiTheme="majorHAnsi" w:cstheme="majorBidi" w:ascii="Arial" w:hAnsi="Arial" w:eastAsia="Arial"/>
      <w:b/>
      <w:bCs/>
      <w:color w:val="76B82A"/>
      <w:sz w:val="23"/>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ascii="Arial" w:hAnsi="Arial" w:eastAsia="Arial"/>
      <w:b/>
      <w:bCs/>
      <w:color w:val="2E2A3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before="0"/>
      <w:contextualSpacing/>
    </w:pPr>
    <w:rPr>
      <w:rFonts w:asciiTheme="majorHAnsi" w:eastAsiaTheme="majorEastAsia" w:hAnsiTheme="majorHAnsi" w:cstheme="majorBidi" w:ascii="Arial" w:hAnsi="Arial" w:eastAsia="Arial"/>
      <w:b/>
      <w:color w:val="2E2A3A"/>
      <w:spacing w:val="5"/>
      <w:kern w:val="28"/>
      <w:sz w:val="5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llout">
    <w:name w:val="Callout"/>
    <w:pPr>
      <w:spacing w:before="80" w:after="80"/>
    </w:pPr>
    <w:rPr>
      <w:rFonts w:ascii="Arial" w:hAnsi="Arial" w:eastAsia="Arial"/>
      <w:b/>
      <w:color w:val="2E2A3A"/>
      <w:sz w:val="19"/>
    </w:rPr>
  </w:style>
  <w:style w:type="paragraph" w:customStyle="1" w:styleId="Small">
    <w:name w:val="Small"/>
    <w:pPr>
      <w:spacing w:after="60"/>
    </w:pPr>
    <w:rPr>
      <w:rFonts w:ascii="Arial" w:hAnsi="Arial" w:eastAsia="Arial"/>
      <w:color w:val="2D2D33"/>
      <w:sz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320AD38B3ED83499964A6DFB7735FDD" ma:contentTypeVersion="10" ma:contentTypeDescription="Create a new document." ma:contentTypeScope="" ma:versionID="5d116f1f520b5e4dae29f75d6b2aa5e1">
  <xsd:schema xmlns:xsd="http://www.w3.org/2001/XMLSchema" xmlns:xs="http://www.w3.org/2001/XMLSchema" xmlns:p="http://schemas.microsoft.com/office/2006/metadata/properties" xmlns:ns2="d4de19fb-5169-4e45-97f7-bbc79239cac7" xmlns:ns3="0031d4ab-bed2-40b0-a732-bd1e0e386ab2" targetNamespace="http://schemas.microsoft.com/office/2006/metadata/properties" ma:root="true" ma:fieldsID="2a3003656f4a0860740ef774378521a2" ns2:_="" ns3:_="">
    <xsd:import namespace="d4de19fb-5169-4e45-97f7-bbc79239cac7"/>
    <xsd:import namespace="0031d4ab-bed2-40b0-a732-bd1e0e386a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e19fb-5169-4e45-97f7-bbc79239ca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4419852-a9c3-4cca-90d3-a1bfe8d288f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31d4ab-bed2-40b0-a732-bd1e0e386ab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ae053b5-e8f0-4c4d-ba5d-3fb79147714e}" ma:internalName="TaxCatchAll" ma:showField="CatchAllData" ma:web="0031d4ab-bed2-40b0-a732-bd1e0e386a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4de19fb-5169-4e45-97f7-bbc79239cac7">
      <Terms xmlns="http://schemas.microsoft.com/office/infopath/2007/PartnerControls"/>
    </lcf76f155ced4ddcb4097134ff3c332f>
    <TaxCatchAll xmlns="0031d4ab-bed2-40b0-a732-bd1e0e386ab2"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C5168F80-2876-4FFB-8A43-C14A147E88CA}"/>
</file>

<file path=customXml/itemProps3.xml><?xml version="1.0" encoding="utf-8"?>
<ds:datastoreItem xmlns:ds="http://schemas.openxmlformats.org/officeDocument/2006/customXml" ds:itemID="{C3173306-CDB8-493B-B685-87834AEE72B5}"/>
</file>

<file path=customXml/itemProps4.xml><?xml version="1.0" encoding="utf-8"?>
<ds:datastoreItem xmlns:ds="http://schemas.openxmlformats.org/officeDocument/2006/customXml" ds:itemID="{06242A31-B2B8-4D47-8A0B-6716B4FDD73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0x0101003320AD38B3ED83499964A6DFB7735FDD</vt:lpwstr>
  </property>
</Properties>
</file>