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jc w:val="center"/>
      </w:pPr>
      <w:r>
        <w:drawing>
          <wp:inline xmlns:a="http://schemas.openxmlformats.org/drawingml/2006/main" xmlns:pic="http://schemas.openxmlformats.org/drawingml/2006/picture">
            <wp:extent cx="1600200" cy="1333876"/>
            <wp:docPr id="1" name="Picture 1"/>
            <wp:cNvGraphicFramePr>
              <a:graphicFrameLocks noChangeAspect="1"/>
            </wp:cNvGraphicFramePr>
            <a:graphic>
              <a:graphicData uri="http://schemas.openxmlformats.org/drawingml/2006/picture">
                <pic:pic>
                  <pic:nvPicPr>
                    <pic:cNvPr id="0" name="Waterside_Academy OL (1).png"/>
                    <pic:cNvPicPr/>
                  </pic:nvPicPr>
                  <pic:blipFill>
                    <a:blip r:embed="rId11"/>
                    <a:stretch>
                      <a:fillRect/>
                    </a:stretch>
                  </pic:blipFill>
                  <pic:spPr>
                    <a:xfrm>
                      <a:off x="0" y="0"/>
                      <a:ext cx="1600200" cy="1333876"/>
                    </a:xfrm>
                    <a:prstGeom prst="rect"/>
                  </pic:spPr>
                </pic:pic>
              </a:graphicData>
            </a:graphic>
          </wp:inline>
        </w:drawing>
      </w:r>
    </w:p>
    <w:p>
      <w:pPr>
        <w:spacing w:after="0"/>
        <w:jc w:val="center"/>
      </w:pPr>
      <w:r>
        <w:rPr>
          <w:rFonts w:ascii="Arial" w:hAnsi="Arial"/>
          <w:b/>
          <w:color w:val="76B82A"/>
          <w:sz w:val="26"/>
        </w:rPr>
        <w:t>TEACHING AND LEARNING</w:t>
      </w:r>
    </w:p>
    <w:p>
      <w:pPr>
        <w:spacing w:after="160"/>
        <w:jc w:val="center"/>
      </w:pPr>
      <w:r>
        <w:rPr>
          <w:rFonts w:ascii="Arial" w:hAnsi="Arial"/>
          <w:b/>
          <w:color w:val="2E2A3A"/>
          <w:sz w:val="60"/>
        </w:rPr>
        <w:t>Policy and Practice Framework</w:t>
      </w:r>
    </w:p>
    <w:tbl>
      <w:tblPr>
        <w:tblW w:type="auto" w:w="0"/>
        <w:jc w:val="center"/>
        <w:tblLayout w:type="fixed"/>
        <w:tblLook w:firstColumn="1" w:firstRow="1" w:lastColumn="0" w:lastRow="0" w:noHBand="0" w:noVBand="1" w:val="04A0"/>
      </w:tblPr>
      <w:tblGrid>
        <w:gridCol w:w="4608"/>
      </w:tblGrid>
      <w:tr>
        <w:tc>
          <w:tcPr>
            <w:tcW w:type="dxa" w:w="10282"/>
            <w:shd w:fill="76B82A"/>
            <w:tcMar>
              <w:top w:w="0" w:type="dxa"/>
              <w:start w:w="0" w:type="dxa"/>
              <w:bottom w:w="0" w:type="dxa"/>
              <w:end w:w="0" w:type="dxa"/>
            </w:tcMar>
          </w:tcPr>
          <w:p>
            <w:r/>
          </w:p>
        </w:tc>
      </w:tr>
    </w:tbl>
    <w:p>
      <w:pPr>
        <w:spacing w:after="80"/>
      </w:pPr>
    </w:p>
    <w:tbl>
      <w:tblPr>
        <w:tblW w:type="auto" w:w="0"/>
        <w:jc w:val="center"/>
        <w:tblLayout w:type="fixed"/>
        <w:tblLook w:firstColumn="1" w:firstRow="1" w:lastColumn="0" w:lastRow="0" w:noHBand="0" w:noVBand="1" w:val="04A0"/>
        <w:tblBorders>
          <w:top w:val="single" w:sz="6" w:space="0" w:color="A7A7AF"/>
          <w:left w:val="single" w:sz="6" w:space="0" w:color="A7A7AF"/>
          <w:bottom w:val="single" w:sz="6" w:space="0" w:color="A7A7AF"/>
          <w:right w:val="single" w:sz="6" w:space="0" w:color="A7A7AF"/>
          <w:insideH w:val="single" w:sz="6" w:space="0" w:color="A7A7AF"/>
          <w:insideV w:val="single" w:sz="6" w:space="0" w:color="A7A7AF"/>
        </w:tblBorders>
      </w:tblPr>
      <w:tblGrid>
        <w:gridCol w:w="2664"/>
        <w:gridCol w:w="7272"/>
      </w:tblGrid>
      <w:tr>
        <w:trPr>
          <w:cantSplit/>
        </w:trPr>
        <w:tc>
          <w:tcPr>
            <w:tcW w:type="dxa" w:w="5141"/>
            <w:shd w:fill="2E2A3A"/>
            <w:tcMar>
              <w:top w:w="100" w:type="dxa"/>
              <w:start w:w="120" w:type="dxa"/>
              <w:bottom w:w="100" w:type="dxa"/>
              <w:end w:w="120" w:type="dxa"/>
            </w:tcMar>
            <w:vAlign w:val="center"/>
          </w:tcPr>
          <w:p>
            <w:r>
              <w:rPr>
                <w:b/>
                <w:color w:val="FFFFFF"/>
                <w:sz w:val="18"/>
              </w:rPr>
              <w:t>Policy owner</w:t>
            </w:r>
          </w:p>
        </w:tc>
        <w:tc>
          <w:tcPr>
            <w:tcW w:type="dxa" w:w="5141"/>
            <w:shd w:fill="F6F6F7"/>
            <w:tcMar>
              <w:top w:w="100" w:type="dxa"/>
              <w:start w:w="120" w:type="dxa"/>
              <w:bottom w:w="100" w:type="dxa"/>
              <w:end w:w="120" w:type="dxa"/>
            </w:tcMar>
            <w:vAlign w:val="center"/>
          </w:tcPr>
          <w:p>
            <w:r>
              <w:rPr>
                <w:color w:val="2D2D33"/>
                <w:sz w:val="18"/>
              </w:rPr>
              <w:t>Senior Leadership Team</w:t>
            </w:r>
          </w:p>
        </w:tc>
      </w:tr>
      <w:tr>
        <w:trPr>
          <w:cantSplit/>
        </w:trPr>
        <w:tc>
          <w:tcPr>
            <w:tcW w:type="dxa" w:w="5141"/>
            <w:shd w:fill="2E2A3A"/>
            <w:tcMar>
              <w:top w:w="100" w:type="dxa"/>
              <w:start w:w="120" w:type="dxa"/>
              <w:bottom w:w="100" w:type="dxa"/>
              <w:end w:w="120" w:type="dxa"/>
            </w:tcMar>
            <w:vAlign w:val="center"/>
          </w:tcPr>
          <w:p>
            <w:r>
              <w:rPr>
                <w:b/>
                <w:color w:val="FFFFFF"/>
                <w:sz w:val="18"/>
              </w:rPr>
              <w:t>Applies to</w:t>
            </w:r>
          </w:p>
        </w:tc>
        <w:tc>
          <w:tcPr>
            <w:tcW w:type="dxa" w:w="5141"/>
            <w:shd w:fill="F6F6F7"/>
            <w:tcMar>
              <w:top w:w="100" w:type="dxa"/>
              <w:start w:w="120" w:type="dxa"/>
              <w:bottom w:w="100" w:type="dxa"/>
              <w:end w:w="120" w:type="dxa"/>
            </w:tcMar>
            <w:vAlign w:val="center"/>
          </w:tcPr>
          <w:p>
            <w:r>
              <w:rPr>
                <w:color w:val="2D2D33"/>
                <w:sz w:val="18"/>
              </w:rPr>
              <w:t>All staff involved in teaching, learning and classroom support</w:t>
            </w:r>
          </w:p>
        </w:tc>
      </w:tr>
      <w:tr>
        <w:trPr>
          <w:cantSplit/>
        </w:trPr>
        <w:tc>
          <w:tcPr>
            <w:tcW w:type="dxa" w:w="5141"/>
            <w:shd w:fill="2E2A3A"/>
            <w:tcMar>
              <w:top w:w="100" w:type="dxa"/>
              <w:start w:w="120" w:type="dxa"/>
              <w:bottom w:w="100" w:type="dxa"/>
              <w:end w:w="120" w:type="dxa"/>
            </w:tcMar>
            <w:vAlign w:val="center"/>
          </w:tcPr>
          <w:p>
            <w:r>
              <w:rPr>
                <w:b/>
                <w:color w:val="FFFFFF"/>
                <w:sz w:val="18"/>
              </w:rPr>
              <w:t>Review cycle</w:t>
            </w:r>
          </w:p>
        </w:tc>
        <w:tc>
          <w:tcPr>
            <w:tcW w:type="dxa" w:w="5141"/>
            <w:shd w:fill="F6F6F7"/>
            <w:tcMar>
              <w:top w:w="100" w:type="dxa"/>
              <w:start w:w="120" w:type="dxa"/>
              <w:bottom w:w="100" w:type="dxa"/>
              <w:end w:w="120" w:type="dxa"/>
            </w:tcMar>
            <w:vAlign w:val="center"/>
          </w:tcPr>
          <w:p>
            <w:r>
              <w:rPr>
                <w:color w:val="2D2D33"/>
                <w:sz w:val="18"/>
              </w:rPr>
              <w:t>Annual</w:t>
            </w:r>
          </w:p>
        </w:tc>
      </w:tr>
      <w:tr>
        <w:trPr>
          <w:cantSplit/>
        </w:trPr>
        <w:tc>
          <w:tcPr>
            <w:tcW w:type="dxa" w:w="5141"/>
            <w:shd w:fill="2E2A3A"/>
            <w:tcMar>
              <w:top w:w="100" w:type="dxa"/>
              <w:start w:w="120" w:type="dxa"/>
              <w:bottom w:w="100" w:type="dxa"/>
              <w:end w:w="120" w:type="dxa"/>
            </w:tcMar>
            <w:vAlign w:val="center"/>
          </w:tcPr>
          <w:p>
            <w:r>
              <w:rPr>
                <w:b/>
                <w:color w:val="FFFFFF"/>
                <w:sz w:val="18"/>
              </w:rPr>
              <w:t>Status</w:t>
            </w:r>
          </w:p>
        </w:tc>
        <w:tc>
          <w:tcPr>
            <w:tcW w:type="dxa" w:w="5141"/>
            <w:shd w:fill="F6F6F7"/>
            <w:tcMar>
              <w:top w:w="100" w:type="dxa"/>
              <w:start w:w="120" w:type="dxa"/>
              <w:bottom w:w="100" w:type="dxa"/>
              <w:end w:w="120" w:type="dxa"/>
            </w:tcMar>
            <w:vAlign w:val="center"/>
          </w:tcPr>
          <w:p>
            <w:r>
              <w:rPr>
                <w:color w:val="2D2D33"/>
                <w:sz w:val="18"/>
              </w:rPr>
              <w:t>Internal Teaching and Learning Policy and Practice Framework</w:t>
            </w:r>
          </w:p>
        </w:tc>
      </w:tr>
      <w:tr>
        <w:trPr>
          <w:cantSplit/>
        </w:trPr>
        <w:tc>
          <w:tcPr>
            <w:tcW w:type="dxa" w:w="5141"/>
            <w:shd w:fill="2E2A3A"/>
            <w:tcMar>
              <w:top w:w="100" w:type="dxa"/>
              <w:start w:w="120" w:type="dxa"/>
              <w:bottom w:w="100" w:type="dxa"/>
              <w:end w:w="120" w:type="dxa"/>
            </w:tcMar>
            <w:vAlign w:val="center"/>
          </w:tcPr>
          <w:p>
            <w:r>
              <w:rPr>
                <w:b/>
                <w:color w:val="FFFFFF"/>
                <w:sz w:val="18"/>
              </w:rPr>
              <w:t>Academy</w:t>
            </w:r>
          </w:p>
        </w:tc>
        <w:tc>
          <w:tcPr>
            <w:tcW w:type="dxa" w:w="5141"/>
            <w:shd w:fill="F6F6F7"/>
            <w:tcMar>
              <w:top w:w="100" w:type="dxa"/>
              <w:start w:w="120" w:type="dxa"/>
              <w:bottom w:w="100" w:type="dxa"/>
              <w:end w:w="120" w:type="dxa"/>
            </w:tcMar>
            <w:vAlign w:val="center"/>
          </w:tcPr>
          <w:p>
            <w:r>
              <w:rPr>
                <w:color w:val="2D2D33"/>
                <w:sz w:val="18"/>
              </w:rPr>
              <w:t>Waterside Academy</w:t>
            </w:r>
          </w:p>
        </w:tc>
      </w:tr>
    </w:tbl>
    <w:p>
      <w:pPr>
        <w:spacing w:before="360" w:after="40"/>
        <w:jc w:val="center"/>
      </w:pPr>
      <w:r>
        <w:rPr>
          <w:b/>
          <w:color w:val="76B82A"/>
          <w:sz w:val="24"/>
        </w:rPr>
        <w:t>I CAN</w:t>
      </w:r>
    </w:p>
    <w:p>
      <w:pPr>
        <w:spacing w:after="80"/>
        <w:jc w:val="center"/>
      </w:pPr>
      <w:r>
        <w:rPr>
          <w:b/>
          <w:color w:val="2E2A3A"/>
          <w:sz w:val="22"/>
        </w:rPr>
        <w:t>Inclusion  •  Communication  •  Aspiration  •  Nurture</w:t>
      </w:r>
    </w:p>
    <w:p>
      <w:pPr>
        <w:jc w:val="center"/>
      </w:pPr>
      <w:r>
        <w:rPr>
          <w:i/>
          <w:color w:val="6E6E73"/>
          <w:sz w:val="18"/>
        </w:rPr>
        <w:t>Consistent, ambitious teaching that helps pupils know more, remember more and become increasingly independent.</w:t>
      </w:r>
    </w:p>
    <w:p>
      <w:r>
        <w:br w:type="page"/>
      </w:r>
    </w:p>
    <w:p>
      <w:pPr>
        <w:pStyle w:val="Heading1"/>
        <w:pBdr>
          <w:bottom w:val="single" w:sz="8" w:space="3" w:color="76B82A"/>
        </w:pBdr>
      </w:pPr>
      <w:r>
        <w:t>1. Purpose</w:t>
      </w:r>
    </w:p>
    <w:p>
      <w:r>
        <w:t>This framework sets out the shared principles for teaching, learning and assessment at Waterside Academy. It explains how staff translate the intended curriculum into consistent classroom practice, while making adaptive and responsive decisions based on pupils’ prior knowledge, understanding and needs. It should be read alongside the Curriculum Policy, subject curriculum plans, assessment arrangements, SEND and safeguarding procedures, behaviour expectations and quality assurance systems.</w:t>
      </w:r>
    </w:p>
    <w:p>
      <w:pPr>
        <w:pStyle w:val="Heading1"/>
        <w:pBdr>
          <w:bottom w:val="single" w:sz="8" w:space="3" w:color="76B82A"/>
        </w:pBdr>
      </w:pPr>
      <w:r>
        <w:t>2. Teaching and Learning Vision</w:t>
      </w:r>
    </w:p>
    <w:tbl>
      <w:tblPr>
        <w:tblW w:type="auto" w:w="0"/>
        <w:jc w:val="center"/>
        <w:tblLook w:firstColumn="1" w:firstRow="1" w:lastColumn="0" w:lastRow="0" w:noHBand="0" w:noVBand="1" w:val="04A0"/>
      </w:tblPr>
      <w:tblGrid>
        <w:gridCol w:w="10282"/>
      </w:tblGrid>
      <w:tr>
        <w:tc>
          <w:tcPr>
            <w:tcW w:type="dxa" w:w="10282"/>
            <w:shd w:fill="EFF6E7"/>
            <w:tcMar>
              <w:top w:w="120" w:type="dxa"/>
              <w:start w:w="150" w:type="dxa"/>
              <w:bottom w:w="120" w:type="dxa"/>
              <w:end w:w="150" w:type="dxa"/>
            </w:tcMar>
            <w:tcBorders>
              <w:left w:val="single" w:sz="18" w:color="76B82A"/>
            </w:tcBorders>
          </w:tcPr>
          <w:p>
            <w:pPr>
              <w:pStyle w:val="Callout"/>
            </w:pPr>
            <w:r>
              <w:t>Every pupil should experience teaching that is ambitious, clear, consistent and responsive. Strong relationships and predictable routines create the conditions for learning; expert teaching secures important knowledge, addresses gaps and supports pupils to become increasingly confident and independent.</w:t>
            </w:r>
          </w:p>
        </w:tc>
      </w:tr>
    </w:tbl>
    <w:p>
      <w:r>
        <w:t>Pupils at Waterside may have experienced disrupted education, gaps in knowledge or low confidence in learning. Teaching therefore needs to reconnect pupils with the planned curriculum without unnecessarily lowering ambition. Staff identify what pupils already know, teach new knowledge explicitly, check understanding carefully and adapt their teaching so that pupils can participate successfully and progress towards appropriate curriculum end points.</w:t>
      </w:r>
    </w:p>
    <w:p>
      <w:pPr>
        <w:pStyle w:val="Heading1"/>
        <w:pBdr>
          <w:bottom w:val="single" w:sz="8" w:space="3" w:color="76B82A"/>
        </w:pBdr>
      </w:pPr>
      <w:r>
        <w:t>3. I CAN Values in Classroom Practice</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1512"/>
        <w:gridCol w:w="3528"/>
        <w:gridCol w:w="5112"/>
      </w:tblGrid>
      <w:tr>
        <w:trPr>
          <w:tblHeader w:val="true"/>
          <w:cantSplit/>
        </w:trPr>
        <w:tc>
          <w:tcPr>
            <w:tcW w:type="dxa" w:w="3427"/>
            <w:shd w:fill="2E2A3A"/>
            <w:tcMar>
              <w:top w:w="90" w:type="dxa"/>
              <w:start w:w="90" w:type="dxa"/>
              <w:bottom w:w="90" w:type="dxa"/>
              <w:end w:w="90" w:type="dxa"/>
            </w:tcMar>
            <w:vAlign w:val="center"/>
          </w:tcPr>
          <w:p>
            <w:r>
              <w:rPr>
                <w:b/>
                <w:color w:val="FFFFFF"/>
                <w:sz w:val="16"/>
              </w:rPr>
              <w:t>Value</w:t>
            </w:r>
          </w:p>
        </w:tc>
        <w:tc>
          <w:tcPr>
            <w:tcW w:type="dxa" w:w="3427"/>
            <w:shd w:fill="2E2A3A"/>
            <w:tcMar>
              <w:top w:w="90" w:type="dxa"/>
              <w:start w:w="90" w:type="dxa"/>
              <w:bottom w:w="90" w:type="dxa"/>
              <w:end w:w="90" w:type="dxa"/>
            </w:tcMar>
            <w:vAlign w:val="center"/>
          </w:tcPr>
          <w:p>
            <w:r>
              <w:rPr>
                <w:b/>
                <w:color w:val="FFFFFF"/>
                <w:sz w:val="16"/>
              </w:rPr>
              <w:t>Teaching commitment</w:t>
            </w:r>
          </w:p>
        </w:tc>
        <w:tc>
          <w:tcPr>
            <w:tcW w:type="dxa" w:w="3427"/>
            <w:shd w:fill="2E2A3A"/>
            <w:tcMar>
              <w:top w:w="90" w:type="dxa"/>
              <w:start w:w="90" w:type="dxa"/>
              <w:bottom w:w="90" w:type="dxa"/>
              <w:end w:w="90" w:type="dxa"/>
            </w:tcMar>
            <w:vAlign w:val="center"/>
          </w:tcPr>
          <w:p>
            <w:r>
              <w:rPr>
                <w:b/>
                <w:color w:val="FFFFFF"/>
                <w:sz w:val="16"/>
              </w:rPr>
              <w:t>What this looks like in practice</w:t>
            </w:r>
          </w:p>
        </w:tc>
      </w:tr>
      <w:tr>
        <w:trPr>
          <w:cantSplit/>
        </w:trPr>
        <w:tc>
          <w:tcPr>
            <w:tcW w:type="dxa" w:w="1512"/>
            <w:shd w:fill="FFFFFF"/>
            <w:tcMar>
              <w:top w:w="90" w:type="dxa"/>
              <w:start w:w="90" w:type="dxa"/>
              <w:bottom w:w="90" w:type="dxa"/>
              <w:end w:w="90" w:type="dxa"/>
            </w:tcMar>
            <w:vAlign w:val="top"/>
          </w:tcPr>
          <w:p>
            <w:r>
              <w:rPr>
                <w:color w:val="2D2D33"/>
                <w:sz w:val="16"/>
              </w:rPr>
              <w:t>Inclusion</w:t>
            </w:r>
          </w:p>
        </w:tc>
        <w:tc>
          <w:tcPr>
            <w:tcW w:type="dxa" w:w="3528"/>
            <w:shd w:fill="FFFFFF"/>
            <w:tcMar>
              <w:top w:w="90" w:type="dxa"/>
              <w:start w:w="90" w:type="dxa"/>
              <w:bottom w:w="90" w:type="dxa"/>
              <w:end w:w="90" w:type="dxa"/>
            </w:tcMar>
            <w:vAlign w:val="top"/>
          </w:tcPr>
          <w:p>
            <w:r>
              <w:rPr>
                <w:color w:val="2D2D33"/>
                <w:sz w:val="16"/>
              </w:rPr>
              <w:t>Every pupil is enabled to access ambitious learning.</w:t>
            </w:r>
          </w:p>
        </w:tc>
        <w:tc>
          <w:tcPr>
            <w:tcW w:type="dxa" w:w="5112"/>
            <w:shd w:fill="FFFFFF"/>
            <w:tcMar>
              <w:top w:w="90" w:type="dxa"/>
              <w:start w:w="90" w:type="dxa"/>
              <w:bottom w:w="90" w:type="dxa"/>
              <w:end w:w="90" w:type="dxa"/>
            </w:tcMar>
            <w:vAlign w:val="top"/>
          </w:tcPr>
          <w:p>
            <w:r>
              <w:rPr>
                <w:color w:val="2D2D33"/>
                <w:sz w:val="16"/>
              </w:rPr>
              <w:t>Teachers identify barriers, adapt explanation, scaffolding, practice and support, and maintain important curriculum end points.</w:t>
            </w:r>
          </w:p>
        </w:tc>
      </w:tr>
      <w:tr>
        <w:trPr>
          <w:cantSplit/>
        </w:trPr>
        <w:tc>
          <w:tcPr>
            <w:tcW w:type="dxa" w:w="1512"/>
            <w:shd w:fill="F8F8F9"/>
            <w:tcMar>
              <w:top w:w="90" w:type="dxa"/>
              <w:start w:w="90" w:type="dxa"/>
              <w:bottom w:w="90" w:type="dxa"/>
              <w:end w:w="90" w:type="dxa"/>
            </w:tcMar>
            <w:vAlign w:val="top"/>
          </w:tcPr>
          <w:p>
            <w:r>
              <w:rPr>
                <w:color w:val="2D2D33"/>
                <w:sz w:val="16"/>
              </w:rPr>
              <w:t>Communication</w:t>
            </w:r>
          </w:p>
        </w:tc>
        <w:tc>
          <w:tcPr>
            <w:tcW w:type="dxa" w:w="3528"/>
            <w:shd w:fill="F8F8F9"/>
            <w:tcMar>
              <w:top w:w="90" w:type="dxa"/>
              <w:start w:w="90" w:type="dxa"/>
              <w:bottom w:w="90" w:type="dxa"/>
              <w:end w:w="90" w:type="dxa"/>
            </w:tcMar>
            <w:vAlign w:val="top"/>
          </w:tcPr>
          <w:p>
            <w:r>
              <w:rPr>
                <w:color w:val="2D2D33"/>
                <w:sz w:val="16"/>
              </w:rPr>
              <w:t>Language, reading, oracy and relationships enable learning.</w:t>
            </w:r>
          </w:p>
        </w:tc>
        <w:tc>
          <w:tcPr>
            <w:tcW w:type="dxa" w:w="5112"/>
            <w:shd w:fill="F8F8F9"/>
            <w:tcMar>
              <w:top w:w="90" w:type="dxa"/>
              <w:start w:w="90" w:type="dxa"/>
              <w:bottom w:w="90" w:type="dxa"/>
              <w:end w:w="90" w:type="dxa"/>
            </w:tcMar>
            <w:vAlign w:val="top"/>
          </w:tcPr>
          <w:p>
            <w:r>
              <w:rPr>
                <w:color w:val="2D2D33"/>
                <w:sz w:val="16"/>
              </w:rPr>
              <w:t>Teachers explicitly teach vocabulary, model precise language, create structured opportunities to speak, listen, read and write, and use purposeful feedback.</w:t>
            </w:r>
          </w:p>
        </w:tc>
      </w:tr>
      <w:tr>
        <w:trPr>
          <w:cantSplit/>
        </w:trPr>
        <w:tc>
          <w:tcPr>
            <w:tcW w:type="dxa" w:w="1512"/>
            <w:shd w:fill="FFFFFF"/>
            <w:tcMar>
              <w:top w:w="90" w:type="dxa"/>
              <w:start w:w="90" w:type="dxa"/>
              <w:bottom w:w="90" w:type="dxa"/>
              <w:end w:w="90" w:type="dxa"/>
            </w:tcMar>
            <w:vAlign w:val="top"/>
          </w:tcPr>
          <w:p>
            <w:r>
              <w:rPr>
                <w:color w:val="2D2D33"/>
                <w:sz w:val="16"/>
              </w:rPr>
              <w:t>Aspiration</w:t>
            </w:r>
          </w:p>
        </w:tc>
        <w:tc>
          <w:tcPr>
            <w:tcW w:type="dxa" w:w="3528"/>
            <w:shd w:fill="FFFFFF"/>
            <w:tcMar>
              <w:top w:w="90" w:type="dxa"/>
              <w:start w:w="90" w:type="dxa"/>
              <w:bottom w:w="90" w:type="dxa"/>
              <w:end w:w="90" w:type="dxa"/>
            </w:tcMar>
            <w:vAlign w:val="top"/>
          </w:tcPr>
          <w:p>
            <w:r>
              <w:rPr>
                <w:color w:val="2D2D33"/>
                <w:sz w:val="16"/>
              </w:rPr>
              <w:t>Teaching opens doors and communicates high expectations.</w:t>
            </w:r>
          </w:p>
        </w:tc>
        <w:tc>
          <w:tcPr>
            <w:tcW w:type="dxa" w:w="5112"/>
            <w:shd w:fill="FFFFFF"/>
            <w:tcMar>
              <w:top w:w="90" w:type="dxa"/>
              <w:start w:w="90" w:type="dxa"/>
              <w:bottom w:w="90" w:type="dxa"/>
              <w:end w:w="90" w:type="dxa"/>
            </w:tcMar>
            <w:vAlign w:val="top"/>
          </w:tcPr>
          <w:p>
            <w:r>
              <w:rPr>
                <w:color w:val="2D2D33"/>
                <w:sz w:val="16"/>
              </w:rPr>
              <w:t>Pupils encounter appropriate challenge, are expected to think and work hard, and understand how current learning connects to qualifications, adulthood and future opportunities.</w:t>
            </w:r>
          </w:p>
        </w:tc>
      </w:tr>
      <w:tr>
        <w:trPr>
          <w:cantSplit/>
        </w:trPr>
        <w:tc>
          <w:tcPr>
            <w:tcW w:type="dxa" w:w="1512"/>
            <w:shd w:fill="F8F8F9"/>
            <w:tcMar>
              <w:top w:w="90" w:type="dxa"/>
              <w:start w:w="90" w:type="dxa"/>
              <w:bottom w:w="90" w:type="dxa"/>
              <w:end w:w="90" w:type="dxa"/>
            </w:tcMar>
            <w:vAlign w:val="top"/>
          </w:tcPr>
          <w:p>
            <w:r>
              <w:rPr>
                <w:color w:val="2D2D33"/>
                <w:sz w:val="16"/>
              </w:rPr>
              <w:t>Nurture</w:t>
            </w:r>
          </w:p>
        </w:tc>
        <w:tc>
          <w:tcPr>
            <w:tcW w:type="dxa" w:w="3528"/>
            <w:shd w:fill="F8F8F9"/>
            <w:tcMar>
              <w:top w:w="90" w:type="dxa"/>
              <w:start w:w="90" w:type="dxa"/>
              <w:bottom w:w="90" w:type="dxa"/>
              <w:end w:w="90" w:type="dxa"/>
            </w:tcMar>
            <w:vAlign w:val="top"/>
          </w:tcPr>
          <w:p>
            <w:r>
              <w:rPr>
                <w:color w:val="2D2D33"/>
                <w:sz w:val="16"/>
              </w:rPr>
              <w:t>Pupils learn best in safe, predictable and relational classrooms.</w:t>
            </w:r>
          </w:p>
        </w:tc>
        <w:tc>
          <w:tcPr>
            <w:tcW w:type="dxa" w:w="5112"/>
            <w:shd w:fill="F8F8F9"/>
            <w:tcMar>
              <w:top w:w="90" w:type="dxa"/>
              <w:start w:w="90" w:type="dxa"/>
              <w:bottom w:w="90" w:type="dxa"/>
              <w:end w:w="90" w:type="dxa"/>
            </w:tcMar>
            <w:vAlign w:val="top"/>
          </w:tcPr>
          <w:p>
            <w:r>
              <w:rPr>
                <w:color w:val="2D2D33"/>
                <w:sz w:val="16"/>
              </w:rPr>
              <w:t>Warm welcomes, fresh starts, calm routines, authentic praise and well-judged support create the security needed to take risks, persevere and become more independent.</w:t>
            </w:r>
          </w:p>
        </w:tc>
      </w:tr>
    </w:tbl>
    <w:p>
      <w:pPr>
        <w:pStyle w:val="Heading1"/>
        <w:pBdr>
          <w:bottom w:val="single" w:sz="8" w:space="3" w:color="76B82A"/>
        </w:pBdr>
      </w:pPr>
      <w:r>
        <w:t>4. Core Principles of Teaching and Learning</w:t>
      </w:r>
    </w:p>
    <w:p>
      <w:pPr>
        <w:pStyle w:val="Heading2"/>
      </w:pPr>
      <w:r>
        <w:t>4.1 Teach the intended curriculum</w:t>
      </w:r>
    </w:p>
    <w:p>
      <w:r>
        <w:t>Teachers follow the intended curriculum, its agreed end points and sequence. They make adaptive and responsive decisions about how best to teach the planned knowledge, based on pupils’ prior knowledge, understanding and needs. Adaptation supports access to the curriculum without unnecessarily lowering ambition or changing the intended end points.</w:t>
      </w:r>
    </w:p>
    <w:p>
      <w:pPr>
        <w:pStyle w:val="ListBullet"/>
        <w:spacing w:after="40"/>
      </w:pPr>
      <w:r>
        <w:t>Be clear about the intended learning and where it sits within the wider curriculum sequence.</w:t>
      </w:r>
    </w:p>
    <w:p>
      <w:pPr>
        <w:pStyle w:val="ListBullet"/>
        <w:spacing w:after="40"/>
      </w:pPr>
      <w:r>
        <w:t>Identify the essential prior knowledge pupils need in order to access new learning.</w:t>
      </w:r>
    </w:p>
    <w:p>
      <w:pPr>
        <w:pStyle w:val="ListBullet"/>
        <w:spacing w:after="40"/>
      </w:pPr>
      <w:r>
        <w:t>Break complex content and composite tasks into manageable knowledge components.</w:t>
      </w:r>
    </w:p>
    <w:p>
      <w:pPr>
        <w:pStyle w:val="ListBullet"/>
        <w:spacing w:after="40"/>
      </w:pPr>
      <w:r>
        <w:t>Use subject-specific expertise to decide what to teach, when to teach it and how best to explain, model and practise it.</w:t>
      </w:r>
    </w:p>
    <w:p>
      <w:pPr>
        <w:pStyle w:val="ListBullet"/>
        <w:spacing w:after="40"/>
      </w:pPr>
      <w:r>
        <w:t>Reconnect pupils who have missed learning with essential prior knowledge rather than simply moving on.</w:t>
      </w:r>
    </w:p>
    <w:p>
      <w:pPr>
        <w:pStyle w:val="Heading2"/>
      </w:pPr>
      <w:r>
        <w:t>4.2 Create strong starts, predictable routines and fresh starts</w:t>
      </w:r>
    </w:p>
    <w:p>
      <w:pPr>
        <w:pStyle w:val="ListBullet"/>
        <w:spacing w:after="40"/>
      </w:pPr>
      <w:r>
        <w:t>Greet pupils warmly and establish a calm, positive entry to the room.</w:t>
      </w:r>
    </w:p>
    <w:p>
      <w:pPr>
        <w:pStyle w:val="ListBullet"/>
        <w:spacing w:after="40"/>
      </w:pPr>
      <w:r>
        <w:t>Have materials ready and an immediate “Do Now” task that activates prior knowledge or prepares pupils for new learning.</w:t>
      </w:r>
    </w:p>
    <w:p>
      <w:pPr>
        <w:pStyle w:val="ListBullet"/>
        <w:spacing w:after="40"/>
      </w:pPr>
      <w:r>
        <w:t>Use clear, concise instructions and established routines for transitions, equipment, tidying and exit.</w:t>
      </w:r>
    </w:p>
    <w:p>
      <w:pPr>
        <w:pStyle w:val="ListBullet"/>
        <w:spacing w:after="40"/>
      </w:pPr>
      <w:r>
        <w:t>Maintain a classroom environment that supports attention, access and purposeful learning.</w:t>
      </w:r>
    </w:p>
    <w:p>
      <w:pPr>
        <w:pStyle w:val="ListBullet"/>
        <w:spacing w:after="40"/>
      </w:pPr>
      <w:r>
        <w:t>Treat every lesson as a fresh start: previous difficulties are addressed appropriately without allowing them to define the tone of the next lesson.</w:t>
      </w:r>
    </w:p>
    <w:p>
      <w:pPr>
        <w:pStyle w:val="ListBullet"/>
        <w:spacing w:after="40"/>
      </w:pPr>
      <w:r>
        <w:t>End lessons calmly and positively, reinforcing effort, progress and expectations for next time.</w:t>
      </w:r>
    </w:p>
    <w:p>
      <w:pPr>
        <w:pStyle w:val="Heading2"/>
      </w:pPr>
      <w:r>
        <w:t>4.3 Use retrieval and revisiting to strengthen learning</w:t>
      </w:r>
    </w:p>
    <w:p>
      <w:r>
        <w:t>Important knowledge is revisited over time so that pupils strengthen recall and connect new learning with what they already know.</w:t>
      </w:r>
    </w:p>
    <w:p>
      <w:pPr>
        <w:pStyle w:val="ListBullet"/>
        <w:spacing w:after="40"/>
      </w:pPr>
      <w:r>
        <w:t>Use low-stakes retrieval through “Do Now” tasks, questioning, mini-quizzes or other short activities.</w:t>
      </w:r>
    </w:p>
    <w:p>
      <w:pPr>
        <w:pStyle w:val="ListBullet"/>
        <w:spacing w:after="40"/>
      </w:pPr>
      <w:r>
        <w:t>Revisit important knowledge across lessons and units rather than relying on one-off coverage.</w:t>
      </w:r>
    </w:p>
    <w:p>
      <w:pPr>
        <w:pStyle w:val="ListBullet"/>
        <w:spacing w:after="40"/>
      </w:pPr>
      <w:r>
        <w:t>Use retrieval to reveal gaps and misconceptions, not simply to rehearse answers.</w:t>
      </w:r>
    </w:p>
    <w:p>
      <w:pPr>
        <w:pStyle w:val="ListBullet"/>
        <w:spacing w:after="40"/>
      </w:pPr>
      <w:r>
        <w:t>Connect prior, current and future learning so pupils understand the purpose and sequence of what they are learning.</w:t>
      </w:r>
    </w:p>
    <w:p>
      <w:pPr>
        <w:pStyle w:val="Heading2"/>
      </w:pPr>
      <w:r>
        <w:t>4.4 Explicit instruction and modelling</w:t>
      </w:r>
    </w:p>
    <w:p>
      <w:r>
        <w:t>New content is taught clearly and in manageable steps. Teachers explain and model the knowledge, thinking and processes pupils need before expecting successful independent performance.</w:t>
      </w:r>
    </w:p>
    <w:p>
      <w:pPr>
        <w:pStyle w:val="ListBullet"/>
        <w:spacing w:after="40"/>
      </w:pPr>
      <w:r>
        <w:t>Use precise explanations and define important vocabulary and concepts.</w:t>
      </w:r>
    </w:p>
    <w:p>
      <w:pPr>
        <w:pStyle w:val="ListBullet"/>
        <w:spacing w:after="40"/>
      </w:pPr>
      <w:r>
        <w:t>Model the application of knowledge, including worked examples and teacher thinking where useful (“I Do”).</w:t>
      </w:r>
    </w:p>
    <w:p>
      <w:pPr>
        <w:pStyle w:val="ListBullet"/>
        <w:spacing w:after="40"/>
      </w:pPr>
      <w:r>
        <w:t>Use guided practice with frequent checks for understanding (“We Do”).</w:t>
      </w:r>
    </w:p>
    <w:p>
      <w:pPr>
        <w:pStyle w:val="ListBullet"/>
        <w:spacing w:after="40"/>
      </w:pPr>
      <w:r>
        <w:t>Move towards independent practice when pupils are ready (“You Do”).</w:t>
      </w:r>
    </w:p>
    <w:p>
      <w:pPr>
        <w:pStyle w:val="ListBullet"/>
        <w:spacing w:after="40"/>
      </w:pPr>
      <w:r>
        <w:t>Minimise unnecessary information and distractions so pupils can focus on essential learning.</w:t>
      </w:r>
    </w:p>
    <w:p>
      <w:pPr>
        <w:pStyle w:val="Heading2"/>
      </w:pPr>
      <w:r>
        <w:t>4.5 Scaffolding towards independence</w:t>
      </w:r>
    </w:p>
    <w:p>
      <w:r>
        <w:t>Scaffolding supports access to ambitious learning and is reduced as pupils become more secure. Support should help pupils participate successfully without creating unnecessary dependence or permanently lowering the level of demand.</w:t>
      </w:r>
    </w:p>
    <w:p>
      <w:pPr>
        <w:pStyle w:val="ListBullet"/>
        <w:spacing w:after="40"/>
      </w:pPr>
      <w:r>
        <w:t>Use prompts, worked examples, chunking, visual support, sentence structures or other scaffolds where they address an identified barrier.</w:t>
      </w:r>
    </w:p>
    <w:p>
      <w:pPr>
        <w:pStyle w:val="ListBullet"/>
        <w:spacing w:after="40"/>
      </w:pPr>
      <w:r>
        <w:t>Fade support as knowledge and confidence increase.</w:t>
      </w:r>
    </w:p>
    <w:p>
      <w:pPr>
        <w:pStyle w:val="ListBullet"/>
        <w:spacing w:after="40"/>
      </w:pPr>
      <w:r>
        <w:t>Provide enough guided practice for pupils to experience success before moving to independent work.</w:t>
      </w:r>
    </w:p>
    <w:p>
      <w:pPr>
        <w:pStyle w:val="ListBullet"/>
        <w:spacing w:after="40"/>
      </w:pPr>
      <w:r>
        <w:t>Adapt the route into learning while keeping important curriculum end points in view.</w:t>
      </w:r>
    </w:p>
    <w:p>
      <w:pPr>
        <w:pStyle w:val="Heading2"/>
      </w:pPr>
      <w:r>
        <w:t>4.6 Check for understanding and respond</w:t>
      </w:r>
    </w:p>
    <w:p>
      <w:r>
        <w:t>Checking for understanding is continuous. Teachers gather evidence during the lesson, identify misconceptions and respond before errors become embedded.</w:t>
      </w:r>
    </w:p>
    <w:p>
      <w:pPr>
        <w:pStyle w:val="ListBullet"/>
        <w:spacing w:after="40"/>
      </w:pPr>
      <w:r>
        <w:t>Use targeted questioning, mini-whiteboards, live marking, observation of pupils’ work, discussion and other appropriate checks.</w:t>
      </w:r>
    </w:p>
    <w:p>
      <w:pPr>
        <w:pStyle w:val="ListBullet"/>
        <w:spacing w:after="40"/>
      </w:pPr>
      <w:r>
        <w:t>Check the understanding of all pupils rather than relying only on volunteers or confident pupils.</w:t>
      </w:r>
    </w:p>
    <w:p>
      <w:pPr>
        <w:pStyle w:val="ListBullet"/>
        <w:spacing w:after="40"/>
      </w:pPr>
      <w:r>
        <w:t>Pause, clarify, re-model or reteach when evidence shows that pupils are not secure.</w:t>
      </w:r>
    </w:p>
    <w:p>
      <w:pPr>
        <w:pStyle w:val="ListBullet"/>
        <w:spacing w:after="40"/>
      </w:pPr>
      <w:r>
        <w:t>Use exit tickets or another purposeful end-of-lesson check where this will help evaluate learning and plan next steps.</w:t>
      </w:r>
    </w:p>
    <w:p>
      <w:pPr>
        <w:pStyle w:val="ListBullet"/>
        <w:spacing w:after="40"/>
      </w:pPr>
      <w:r>
        <w:t>Use what pupils have actually learned to adapt future teaching.</w:t>
      </w:r>
    </w:p>
    <w:p>
      <w:pPr>
        <w:pStyle w:val="Heading2"/>
      </w:pPr>
      <w:r>
        <w:t>4.7 Purposeful practice and appropriate challenge</w:t>
      </w:r>
    </w:p>
    <w:p>
      <w:r>
        <w:t>Practice should build fluency, accuracy, understanding and independence. Tasks are chosen because they help pupils learn the intended curriculum, not simply because they keep pupils busy.</w:t>
      </w:r>
    </w:p>
    <w:p>
      <w:pPr>
        <w:pStyle w:val="ListBullet"/>
        <w:spacing w:after="40"/>
      </w:pPr>
      <w:r>
        <w:t>Choose practice activities that match the stage of learning and build towards increasingly complex application.</w:t>
      </w:r>
    </w:p>
    <w:p>
      <w:pPr>
        <w:pStyle w:val="ListBullet"/>
        <w:spacing w:after="40"/>
      </w:pPr>
      <w:r>
        <w:t>Provide clear goals and success criteria where these help pupils understand the purpose of the task.</w:t>
      </w:r>
    </w:p>
    <w:p>
      <w:pPr>
        <w:pStyle w:val="ListBullet"/>
        <w:spacing w:after="40"/>
      </w:pPr>
      <w:r>
        <w:t>Prioritise quality and thinking over unnecessary quantity or repetitive completion.</w:t>
      </w:r>
    </w:p>
    <w:p>
      <w:pPr>
        <w:pStyle w:val="ListBullet"/>
        <w:spacing w:after="40"/>
      </w:pPr>
      <w:r>
        <w:t>Maintain appropriate challenge while adapting support so pupils can access it successfully.</w:t>
      </w:r>
    </w:p>
    <w:p>
      <w:pPr>
        <w:pStyle w:val="Heading2"/>
      </w:pPr>
      <w:r>
        <w:t>4.8 Reading, vocabulary and communication across the curriculum</w:t>
      </w:r>
    </w:p>
    <w:p>
      <w:r>
        <w:t>Communication is an I CAN value and a teaching priority. Reading, vocabulary, speaking, listening and writing determine pupils’ access to every subject and to life beyond school.</w:t>
      </w:r>
    </w:p>
    <w:p>
      <w:pPr>
        <w:pStyle w:val="ListBullet"/>
        <w:spacing w:after="40"/>
      </w:pPr>
      <w:r>
        <w:t>Identify and explicitly teach the vocabulary pupils need to access disciplinary knowledge.</w:t>
      </w:r>
    </w:p>
    <w:p>
      <w:pPr>
        <w:pStyle w:val="ListBullet"/>
        <w:spacing w:after="40"/>
      </w:pPr>
      <w:r>
        <w:t>Model accurate spoken and written language.</w:t>
      </w:r>
    </w:p>
    <w:p>
      <w:pPr>
        <w:pStyle w:val="ListBullet"/>
        <w:spacing w:after="40"/>
      </w:pPr>
      <w:r>
        <w:t>Provide regular opportunities for pupils to explain, discuss, read, write and communicate for genuine subject purposes.</w:t>
      </w:r>
    </w:p>
    <w:p>
      <w:pPr>
        <w:pStyle w:val="ListBullet"/>
        <w:spacing w:after="40"/>
      </w:pPr>
      <w:r>
        <w:t>Use reading strategies, including reciprocal approaches where appropriate, to support comprehension and independence.</w:t>
      </w:r>
    </w:p>
    <w:p>
      <w:pPr>
        <w:pStyle w:val="ListBullet"/>
        <w:spacing w:after="40"/>
      </w:pPr>
      <w:r>
        <w:t>Ensure literacy support increases access to the subject rather than replacing ambitious subject content.</w:t>
      </w:r>
    </w:p>
    <w:p>
      <w:pPr>
        <w:pStyle w:val="Heading2"/>
      </w:pPr>
      <w:r>
        <w:t>4.9 Motivation, belonging and high expectations</w:t>
      </w:r>
    </w:p>
    <w:p>
      <w:pPr>
        <w:pStyle w:val="ListBullet"/>
        <w:spacing w:after="40"/>
      </w:pPr>
      <w:r>
        <w:t>Communicate that pupils are capable of improvement and meaningful achievement.</w:t>
      </w:r>
    </w:p>
    <w:p>
      <w:pPr>
        <w:pStyle w:val="ListBullet"/>
        <w:spacing w:after="40"/>
      </w:pPr>
      <w:r>
        <w:t>Explain the relevance of learning and, where appropriate, how it connects to later study, qualifications, adulthood or future opportunities.</w:t>
      </w:r>
    </w:p>
    <w:p>
      <w:pPr>
        <w:pStyle w:val="ListBullet"/>
        <w:spacing w:after="40"/>
      </w:pPr>
      <w:r>
        <w:t>Use positive narration and authentic praise that recognises effort, engagement, improvement and successful learning.</w:t>
      </w:r>
    </w:p>
    <w:p>
      <w:pPr>
        <w:pStyle w:val="ListBullet"/>
        <w:spacing w:after="40"/>
      </w:pPr>
      <w:r>
        <w:t>Maintain calm, relational authority and clear boundaries.</w:t>
      </w:r>
    </w:p>
    <w:p>
      <w:pPr>
        <w:pStyle w:val="ListBullet"/>
        <w:spacing w:after="40"/>
      </w:pPr>
      <w:r>
        <w:t>Normalise productive struggle and help pupils persist when learning is difficult.</w:t>
      </w:r>
    </w:p>
    <w:p>
      <w:pPr>
        <w:pStyle w:val="Heading1"/>
        <w:pBdr>
          <w:bottom w:val="single" w:sz="8" w:space="3" w:color="76B82A"/>
        </w:pBdr>
      </w:pPr>
      <w:r>
        <w:t>5. Assessment and Feedback</w:t>
      </w:r>
    </w:p>
    <w:p>
      <w:r>
        <w:t>Assessment is used to understand what pupils know, remember and can do, identify gaps and misconceptions, and inform future teaching. It is not separate from teaching: evidence gathered in lessons and through planned assessment should lead to action.</w:t>
      </w:r>
    </w:p>
    <w:p>
      <w:pPr>
        <w:pStyle w:val="Heading2"/>
      </w:pPr>
      <w:r>
        <w:t>5.1 Knowledge Check Points</w:t>
      </w:r>
    </w:p>
    <w:p>
      <w:r>
        <w:t>Knowledge Check Points are planned opportunities to check cumulative learning. They are used alongside everyday classroom assessment, not instead of it.</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1800"/>
        <w:gridCol w:w="4176"/>
        <w:gridCol w:w="4248"/>
      </w:tblGrid>
      <w:tr>
        <w:trPr>
          <w:tblHeader w:val="true"/>
          <w:cantSplit/>
        </w:trPr>
        <w:tc>
          <w:tcPr>
            <w:tcW w:type="dxa" w:w="3427"/>
            <w:shd w:fill="2E2A3A"/>
            <w:tcMar>
              <w:top w:w="90" w:type="dxa"/>
              <w:start w:w="90" w:type="dxa"/>
              <w:bottom w:w="90" w:type="dxa"/>
              <w:end w:w="90" w:type="dxa"/>
            </w:tcMar>
            <w:vAlign w:val="center"/>
          </w:tcPr>
          <w:p>
            <w:r>
              <w:rPr>
                <w:b/>
                <w:color w:val="FFFFFF"/>
                <w:sz w:val="16"/>
              </w:rPr>
              <w:t>Key stage</w:t>
            </w:r>
          </w:p>
        </w:tc>
        <w:tc>
          <w:tcPr>
            <w:tcW w:type="dxa" w:w="3427"/>
            <w:shd w:fill="2E2A3A"/>
            <w:tcMar>
              <w:top w:w="90" w:type="dxa"/>
              <w:start w:w="90" w:type="dxa"/>
              <w:bottom w:w="90" w:type="dxa"/>
              <w:end w:w="90" w:type="dxa"/>
            </w:tcMar>
            <w:vAlign w:val="center"/>
          </w:tcPr>
          <w:p>
            <w:r>
              <w:rPr>
                <w:b/>
                <w:color w:val="FFFFFF"/>
                <w:sz w:val="16"/>
              </w:rPr>
              <w:t>Approach</w:t>
            </w:r>
          </w:p>
        </w:tc>
        <w:tc>
          <w:tcPr>
            <w:tcW w:type="dxa" w:w="3427"/>
            <w:shd w:fill="2E2A3A"/>
            <w:tcMar>
              <w:top w:w="90" w:type="dxa"/>
              <w:start w:w="90" w:type="dxa"/>
              <w:bottom w:w="90" w:type="dxa"/>
              <w:end w:w="90" w:type="dxa"/>
            </w:tcMar>
            <w:vAlign w:val="center"/>
          </w:tcPr>
          <w:p>
            <w:r>
              <w:rPr>
                <w:b/>
                <w:color w:val="FFFFFF"/>
                <w:sz w:val="16"/>
              </w:rPr>
              <w:t>Purpose</w:t>
            </w:r>
          </w:p>
        </w:tc>
      </w:tr>
      <w:tr>
        <w:trPr>
          <w:cantSplit/>
        </w:trPr>
        <w:tc>
          <w:tcPr>
            <w:tcW w:type="dxa" w:w="1800"/>
            <w:shd w:fill="FFFFFF"/>
            <w:tcMar>
              <w:top w:w="90" w:type="dxa"/>
              <w:start w:w="90" w:type="dxa"/>
              <w:bottom w:w="90" w:type="dxa"/>
              <w:end w:w="90" w:type="dxa"/>
            </w:tcMar>
            <w:vAlign w:val="top"/>
          </w:tcPr>
          <w:p>
            <w:r>
              <w:rPr>
                <w:color w:val="2D2D33"/>
                <w:sz w:val="16"/>
              </w:rPr>
              <w:t>Key Stage 3</w:t>
            </w:r>
          </w:p>
        </w:tc>
        <w:tc>
          <w:tcPr>
            <w:tcW w:type="dxa" w:w="4176"/>
            <w:shd w:fill="FFFFFF"/>
            <w:tcMar>
              <w:top w:w="90" w:type="dxa"/>
              <w:start w:w="90" w:type="dxa"/>
              <w:bottom w:w="90" w:type="dxa"/>
              <w:end w:w="90" w:type="dxa"/>
            </w:tcMar>
            <w:vAlign w:val="top"/>
          </w:tcPr>
          <w:p>
            <w:r>
              <w:rPr>
                <w:color w:val="2D2D33"/>
                <w:sz w:val="16"/>
              </w:rPr>
              <w:t>Regular, low-stakes Knowledge Check Points focused on retrieving and applying taught knowledge.</w:t>
            </w:r>
          </w:p>
        </w:tc>
        <w:tc>
          <w:tcPr>
            <w:tcW w:type="dxa" w:w="4248"/>
            <w:shd w:fill="FFFFFF"/>
            <w:tcMar>
              <w:top w:w="90" w:type="dxa"/>
              <w:start w:w="90" w:type="dxa"/>
              <w:bottom w:w="90" w:type="dxa"/>
              <w:end w:w="90" w:type="dxa"/>
            </w:tcMar>
            <w:vAlign w:val="top"/>
          </w:tcPr>
          <w:p>
            <w:r>
              <w:rPr>
                <w:color w:val="2D2D33"/>
                <w:sz w:val="16"/>
              </w:rPr>
              <w:t>To identify what has been learned, make gaps visible and inform responsive teaching without creating unnecessary assessment pressure.</w:t>
            </w:r>
          </w:p>
        </w:tc>
      </w:tr>
      <w:tr>
        <w:trPr>
          <w:cantSplit/>
        </w:trPr>
        <w:tc>
          <w:tcPr>
            <w:tcW w:type="dxa" w:w="1800"/>
            <w:shd w:fill="F8F8F9"/>
            <w:tcMar>
              <w:top w:w="90" w:type="dxa"/>
              <w:start w:w="90" w:type="dxa"/>
              <w:bottom w:w="90" w:type="dxa"/>
              <w:end w:w="90" w:type="dxa"/>
            </w:tcMar>
            <w:vAlign w:val="top"/>
          </w:tcPr>
          <w:p>
            <w:r>
              <w:rPr>
                <w:color w:val="2D2D33"/>
                <w:sz w:val="16"/>
              </w:rPr>
              <w:t>Key Stage 4</w:t>
            </w:r>
          </w:p>
        </w:tc>
        <w:tc>
          <w:tcPr>
            <w:tcW w:type="dxa" w:w="4176"/>
            <w:shd w:fill="F8F8F9"/>
            <w:tcMar>
              <w:top w:w="90" w:type="dxa"/>
              <w:start w:w="90" w:type="dxa"/>
              <w:bottom w:w="90" w:type="dxa"/>
              <w:end w:w="90" w:type="dxa"/>
            </w:tcMar>
            <w:vAlign w:val="top"/>
          </w:tcPr>
          <w:p>
            <w:r>
              <w:rPr>
                <w:color w:val="2D2D33"/>
                <w:sz w:val="16"/>
              </w:rPr>
              <w:t>Knowledge Check Points increasingly include GCSE or Functional Skills-style elements where appropriate.</w:t>
            </w:r>
          </w:p>
        </w:tc>
        <w:tc>
          <w:tcPr>
            <w:tcW w:type="dxa" w:w="4248"/>
            <w:shd w:fill="F8F8F9"/>
            <w:tcMar>
              <w:top w:w="90" w:type="dxa"/>
              <w:start w:w="90" w:type="dxa"/>
              <w:bottom w:w="90" w:type="dxa"/>
              <w:end w:w="90" w:type="dxa"/>
            </w:tcMar>
            <w:vAlign w:val="top"/>
          </w:tcPr>
          <w:p>
            <w:r>
              <w:rPr>
                <w:color w:val="2D2D33"/>
                <w:sz w:val="16"/>
              </w:rPr>
              <w:t>To evaluate cumulative knowledge, build examination familiarity and stamina, and inform qualification preparation.</w:t>
            </w:r>
          </w:p>
        </w:tc>
      </w:tr>
    </w:tbl>
    <w:p>
      <w:pPr>
        <w:pStyle w:val="Heading2"/>
      </w:pPr>
      <w:r>
        <w:t>5.2 Feedback</w:t>
      </w:r>
    </w:p>
    <w:p>
      <w:r>
        <w:t>Feedback should be meaningful, manageable and focused on helping pupils move forward. It may be verbal, written, whole-class or delivered through live marking, depending on what will have the greatest impact on learning.</w:t>
      </w:r>
    </w:p>
    <w:p>
      <w:pPr>
        <w:pStyle w:val="ListBullet"/>
        <w:spacing w:after="40"/>
      </w:pPr>
      <w:r>
        <w:t>Correct misconceptions as close to the point of learning as possible.</w:t>
      </w:r>
    </w:p>
    <w:p>
      <w:pPr>
        <w:pStyle w:val="ListBullet"/>
        <w:spacing w:after="40"/>
      </w:pPr>
      <w:r>
        <w:t>Make clear what pupils need to improve, practise or revisit.</w:t>
      </w:r>
    </w:p>
    <w:p>
      <w:pPr>
        <w:pStyle w:val="ListBullet"/>
        <w:spacing w:after="40"/>
      </w:pPr>
      <w:r>
        <w:t>Give pupils opportunities to act on feedback where this supports learning.</w:t>
      </w:r>
    </w:p>
    <w:p>
      <w:pPr>
        <w:pStyle w:val="ListBullet"/>
        <w:spacing w:after="40"/>
      </w:pPr>
      <w:r>
        <w:t>Avoid feedback routines that create workload without improving pupils’ knowledge or work.</w:t>
      </w:r>
    </w:p>
    <w:p>
      <w:pPr>
        <w:pStyle w:val="Heading2"/>
      </w:pPr>
      <w:r>
        <w:t>5.3 Reporting to parents and carers</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1872"/>
        <w:gridCol w:w="8352"/>
      </w:tblGrid>
      <w:tr>
        <w:trPr>
          <w:tblHeader w:val="true"/>
          <w:cantSplit/>
        </w:trPr>
        <w:tc>
          <w:tcPr>
            <w:tcW w:type="dxa" w:w="5141"/>
            <w:shd w:fill="2E2A3A"/>
            <w:tcMar>
              <w:top w:w="90" w:type="dxa"/>
              <w:start w:w="90" w:type="dxa"/>
              <w:bottom w:w="90" w:type="dxa"/>
              <w:end w:w="90" w:type="dxa"/>
            </w:tcMar>
            <w:vAlign w:val="center"/>
          </w:tcPr>
          <w:p>
            <w:r>
              <w:rPr>
                <w:b/>
                <w:color w:val="FFFFFF"/>
                <w:sz w:val="17"/>
              </w:rPr>
              <w:t>Key stage</w:t>
            </w:r>
          </w:p>
        </w:tc>
        <w:tc>
          <w:tcPr>
            <w:tcW w:type="dxa" w:w="5141"/>
            <w:shd w:fill="2E2A3A"/>
            <w:tcMar>
              <w:top w:w="90" w:type="dxa"/>
              <w:start w:w="90" w:type="dxa"/>
              <w:bottom w:w="90" w:type="dxa"/>
              <w:end w:w="90" w:type="dxa"/>
            </w:tcMar>
            <w:vAlign w:val="center"/>
          </w:tcPr>
          <w:p>
            <w:r>
              <w:rPr>
                <w:b/>
                <w:color w:val="FFFFFF"/>
                <w:sz w:val="17"/>
              </w:rPr>
              <w:t>Reporting expectation</w:t>
            </w:r>
          </w:p>
        </w:tc>
      </w:tr>
      <w:tr>
        <w:trPr>
          <w:cantSplit/>
        </w:trPr>
        <w:tc>
          <w:tcPr>
            <w:tcW w:type="dxa" w:w="1872"/>
            <w:shd w:fill="FFFFFF"/>
            <w:tcMar>
              <w:top w:w="90" w:type="dxa"/>
              <w:start w:w="90" w:type="dxa"/>
              <w:bottom w:w="90" w:type="dxa"/>
              <w:end w:w="90" w:type="dxa"/>
            </w:tcMar>
            <w:vAlign w:val="top"/>
          </w:tcPr>
          <w:p>
            <w:r>
              <w:rPr>
                <w:color w:val="2D2D33"/>
                <w:sz w:val="17"/>
              </w:rPr>
              <w:t>Key Stage 3</w:t>
            </w:r>
          </w:p>
        </w:tc>
        <w:tc>
          <w:tcPr>
            <w:tcW w:type="dxa" w:w="8352"/>
            <w:shd w:fill="FFFFFF"/>
            <w:tcMar>
              <w:top w:w="90" w:type="dxa"/>
              <w:start w:w="90" w:type="dxa"/>
              <w:bottom w:w="90" w:type="dxa"/>
              <w:end w:w="90" w:type="dxa"/>
            </w:tcMar>
            <w:vAlign w:val="top"/>
          </w:tcPr>
          <w:p>
            <w:r>
              <w:rPr>
                <w:color w:val="2D2D33"/>
                <w:sz w:val="17"/>
              </w:rPr>
              <w:t>Twice yearly, teachers provide a holistic review of progress, including an attainment descriptor and personalised comment.</w:t>
            </w:r>
          </w:p>
        </w:tc>
      </w:tr>
      <w:tr>
        <w:trPr>
          <w:cantSplit/>
        </w:trPr>
        <w:tc>
          <w:tcPr>
            <w:tcW w:type="dxa" w:w="1872"/>
            <w:shd w:fill="F8F8F9"/>
            <w:tcMar>
              <w:top w:w="90" w:type="dxa"/>
              <w:start w:w="90" w:type="dxa"/>
              <w:bottom w:w="90" w:type="dxa"/>
              <w:end w:w="90" w:type="dxa"/>
            </w:tcMar>
            <w:vAlign w:val="top"/>
          </w:tcPr>
          <w:p>
            <w:r>
              <w:rPr>
                <w:color w:val="2D2D33"/>
                <w:sz w:val="17"/>
              </w:rPr>
              <w:t>Key Stage 4</w:t>
            </w:r>
          </w:p>
        </w:tc>
        <w:tc>
          <w:tcPr>
            <w:tcW w:type="dxa" w:w="8352"/>
            <w:shd w:fill="F8F8F9"/>
            <w:tcMar>
              <w:top w:w="90" w:type="dxa"/>
              <w:start w:w="90" w:type="dxa"/>
              <w:bottom w:w="90" w:type="dxa"/>
              <w:end w:w="90" w:type="dxa"/>
            </w:tcMar>
            <w:vAlign w:val="top"/>
          </w:tcPr>
          <w:p>
            <w:r>
              <w:rPr>
                <w:color w:val="2D2D33"/>
                <w:sz w:val="17"/>
              </w:rPr>
              <w:t>Three reports per year provide detailed feedback, including target grades, attainment grades and comments on progress.</w:t>
            </w:r>
          </w:p>
        </w:tc>
      </w:tr>
    </w:tbl>
    <w:p>
      <w:pPr>
        <w:pStyle w:val="Heading1"/>
        <w:pBdr>
          <w:bottom w:val="single" w:sz="8" w:space="3" w:color="76B82A"/>
        </w:pBdr>
      </w:pPr>
      <w:r>
        <w:t>6. Adaptive and Responsive Teaching</w:t>
      </w:r>
    </w:p>
    <w:p>
      <w:r>
        <w:t>Adaptive and responsive teaching means making well-judged changes to explanation, modelling, scaffolding, practice, pacing, questioning or support in response to evidence about pupils’ prior knowledge, understanding and needs. It does not mean creating a permanently easier curriculum or different learning objective for every pupil.</w:t>
      </w:r>
    </w:p>
    <w:tbl>
      <w:tblPr>
        <w:tblW w:type="auto" w:w="0"/>
        <w:jc w:val="center"/>
        <w:tblLook w:firstColumn="1" w:firstRow="1" w:lastColumn="0" w:lastRow="0" w:noHBand="0" w:noVBand="1" w:val="04A0"/>
      </w:tblPr>
      <w:tblGrid>
        <w:gridCol w:w="10282"/>
      </w:tblGrid>
      <w:tr>
        <w:tc>
          <w:tcPr>
            <w:tcW w:type="dxa" w:w="10282"/>
            <w:shd w:fill="EFF6E7"/>
            <w:tcMar>
              <w:top w:w="120" w:type="dxa"/>
              <w:start w:w="150" w:type="dxa"/>
              <w:bottom w:w="120" w:type="dxa"/>
              <w:end w:w="150" w:type="dxa"/>
            </w:tcMar>
            <w:tcBorders>
              <w:left w:val="single" w:sz="18" w:color="76B82A"/>
            </w:tcBorders>
          </w:tcPr>
          <w:p>
            <w:pPr>
              <w:pStyle w:val="Callout"/>
            </w:pPr>
            <w:r>
              <w:t>Adapt the route, not the ambition: maintain important curriculum end points while removing barriers and increasing access, success and independence.</w:t>
            </w:r>
          </w:p>
        </w:tc>
      </w:tr>
    </w:tbl>
    <w:p>
      <w:pPr>
        <w:pStyle w:val="ListBullet"/>
        <w:spacing w:after="40"/>
      </w:pPr>
      <w:r>
        <w:t>Use baseline and assessment information alongside what is seen and heard in the classroom.</w:t>
      </w:r>
    </w:p>
    <w:p>
      <w:pPr>
        <w:pStyle w:val="ListBullet"/>
        <w:spacing w:after="40"/>
      </w:pPr>
      <w:r>
        <w:t>Anticipate common barriers, while responding to individual pupils when needed.</w:t>
      </w:r>
    </w:p>
    <w:p>
      <w:pPr>
        <w:pStyle w:val="ListBullet"/>
        <w:spacing w:after="40"/>
      </w:pPr>
      <w:r>
        <w:t>Break learning into smaller steps without losing sight of the bigger curriculum goal.</w:t>
      </w:r>
    </w:p>
    <w:p>
      <w:pPr>
        <w:pStyle w:val="ListBullet"/>
        <w:spacing w:after="40"/>
      </w:pPr>
      <w:r>
        <w:t>Use targeted intervention where a specific gap or barrier requires additional support.</w:t>
      </w:r>
    </w:p>
    <w:p>
      <w:pPr>
        <w:pStyle w:val="ListBullet"/>
        <w:spacing w:after="40"/>
      </w:pPr>
      <w:r>
        <w:t>Review the impact of adaptations and reduce support when it is no longer needed.</w:t>
      </w:r>
    </w:p>
    <w:p>
      <w:pPr>
        <w:pStyle w:val="Heading1"/>
        <w:pBdr>
          <w:bottom w:val="single" w:sz="8" w:space="3" w:color="76B82A"/>
        </w:pBdr>
      </w:pPr>
      <w:r>
        <w:t>7. Classroom Environment and Routines</w:t>
      </w:r>
    </w:p>
    <w:p>
      <w:r>
        <w:t>The physical and relational environment should make learning easier. Routines reduce uncertainty, protect learning time and help pupils know what successful participation looks like.</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2376"/>
        <w:gridCol w:w="7848"/>
      </w:tblGrid>
      <w:tr>
        <w:trPr>
          <w:tblHeader w:val="true"/>
          <w:cantSplit/>
        </w:trPr>
        <w:tc>
          <w:tcPr>
            <w:tcW w:type="dxa" w:w="5141"/>
            <w:shd w:fill="2E2A3A"/>
            <w:tcMar>
              <w:top w:w="90" w:type="dxa"/>
              <w:start w:w="90" w:type="dxa"/>
              <w:bottom w:w="90" w:type="dxa"/>
              <w:end w:w="90" w:type="dxa"/>
            </w:tcMar>
            <w:vAlign w:val="center"/>
          </w:tcPr>
          <w:p>
            <w:r>
              <w:rPr>
                <w:b/>
                <w:color w:val="FFFFFF"/>
                <w:sz w:val="16"/>
              </w:rPr>
              <w:t>Area</w:t>
            </w:r>
          </w:p>
        </w:tc>
        <w:tc>
          <w:tcPr>
            <w:tcW w:type="dxa" w:w="5141"/>
            <w:shd w:fill="2E2A3A"/>
            <w:tcMar>
              <w:top w:w="90" w:type="dxa"/>
              <w:start w:w="90" w:type="dxa"/>
              <w:bottom w:w="90" w:type="dxa"/>
              <w:end w:w="90" w:type="dxa"/>
            </w:tcMar>
            <w:vAlign w:val="center"/>
          </w:tcPr>
          <w:p>
            <w:r>
              <w:rPr>
                <w:b/>
                <w:color w:val="FFFFFF"/>
                <w:sz w:val="16"/>
              </w:rPr>
              <w:t>Expected practice</w:t>
            </w:r>
          </w:p>
        </w:tc>
      </w:tr>
      <w:tr>
        <w:trPr>
          <w:cantSplit/>
        </w:trPr>
        <w:tc>
          <w:tcPr>
            <w:tcW w:type="dxa" w:w="2376"/>
            <w:shd w:fill="FFFFFF"/>
            <w:tcMar>
              <w:top w:w="90" w:type="dxa"/>
              <w:start w:w="90" w:type="dxa"/>
              <w:bottom w:w="90" w:type="dxa"/>
              <w:end w:w="90" w:type="dxa"/>
            </w:tcMar>
            <w:vAlign w:val="top"/>
          </w:tcPr>
          <w:p>
            <w:r>
              <w:rPr>
                <w:color w:val="2D2D33"/>
                <w:sz w:val="16"/>
              </w:rPr>
              <w:t>Welcome and entry</w:t>
            </w:r>
          </w:p>
        </w:tc>
        <w:tc>
          <w:tcPr>
            <w:tcW w:type="dxa" w:w="7848"/>
            <w:shd w:fill="FFFFFF"/>
            <w:tcMar>
              <w:top w:w="90" w:type="dxa"/>
              <w:start w:w="90" w:type="dxa"/>
              <w:bottom w:w="90" w:type="dxa"/>
              <w:end w:w="90" w:type="dxa"/>
            </w:tcMar>
            <w:vAlign w:val="top"/>
          </w:tcPr>
          <w:p>
            <w:r>
              <w:rPr>
                <w:color w:val="2D2D33"/>
                <w:sz w:val="16"/>
              </w:rPr>
              <w:t>Warm greeting; calm entry; work and equipment ready; immediate purposeful start.</w:t>
            </w:r>
          </w:p>
        </w:tc>
      </w:tr>
      <w:tr>
        <w:trPr>
          <w:cantSplit/>
        </w:trPr>
        <w:tc>
          <w:tcPr>
            <w:tcW w:type="dxa" w:w="2376"/>
            <w:shd w:fill="F8F8F9"/>
            <w:tcMar>
              <w:top w:w="90" w:type="dxa"/>
              <w:start w:w="90" w:type="dxa"/>
              <w:bottom w:w="90" w:type="dxa"/>
              <w:end w:w="90" w:type="dxa"/>
            </w:tcMar>
            <w:vAlign w:val="top"/>
          </w:tcPr>
          <w:p>
            <w:r>
              <w:rPr>
                <w:color w:val="2D2D33"/>
                <w:sz w:val="16"/>
              </w:rPr>
              <w:t>Positioning and visibility</w:t>
            </w:r>
          </w:p>
        </w:tc>
        <w:tc>
          <w:tcPr>
            <w:tcW w:type="dxa" w:w="7848"/>
            <w:shd w:fill="F8F8F9"/>
            <w:tcMar>
              <w:top w:w="90" w:type="dxa"/>
              <w:start w:w="90" w:type="dxa"/>
              <w:bottom w:w="90" w:type="dxa"/>
              <w:end w:w="90" w:type="dxa"/>
            </w:tcMar>
            <w:vAlign w:val="top"/>
          </w:tcPr>
          <w:p>
            <w:r>
              <w:rPr>
                <w:color w:val="2D2D33"/>
                <w:sz w:val="16"/>
              </w:rPr>
              <w:t>Staff position themselves so they can see, support and actively monitor pupils and the learning environment.</w:t>
            </w:r>
          </w:p>
        </w:tc>
      </w:tr>
      <w:tr>
        <w:trPr>
          <w:cantSplit/>
        </w:trPr>
        <w:tc>
          <w:tcPr>
            <w:tcW w:type="dxa" w:w="2376"/>
            <w:shd w:fill="FFFFFF"/>
            <w:tcMar>
              <w:top w:w="90" w:type="dxa"/>
              <w:start w:w="90" w:type="dxa"/>
              <w:bottom w:w="90" w:type="dxa"/>
              <w:end w:w="90" w:type="dxa"/>
            </w:tcMar>
            <w:vAlign w:val="top"/>
          </w:tcPr>
          <w:p>
            <w:r>
              <w:rPr>
                <w:color w:val="2D2D33"/>
                <w:sz w:val="16"/>
              </w:rPr>
              <w:t>Displays and resources</w:t>
            </w:r>
          </w:p>
        </w:tc>
        <w:tc>
          <w:tcPr>
            <w:tcW w:type="dxa" w:w="7848"/>
            <w:shd w:fill="FFFFFF"/>
            <w:tcMar>
              <w:top w:w="90" w:type="dxa"/>
              <w:start w:w="90" w:type="dxa"/>
              <w:bottom w:w="90" w:type="dxa"/>
              <w:end w:w="90" w:type="dxa"/>
            </w:tcMar>
            <w:vAlign w:val="top"/>
          </w:tcPr>
          <w:p>
            <w:r>
              <w:rPr>
                <w:color w:val="2D2D33"/>
                <w:sz w:val="16"/>
              </w:rPr>
              <w:t>The room supports attention and learning. Displays and resources have a clear purpose rather than creating unnecessary distraction.</w:t>
            </w:r>
          </w:p>
        </w:tc>
      </w:tr>
      <w:tr>
        <w:trPr>
          <w:cantSplit/>
        </w:trPr>
        <w:tc>
          <w:tcPr>
            <w:tcW w:type="dxa" w:w="2376"/>
            <w:shd w:fill="F8F8F9"/>
            <w:tcMar>
              <w:top w:w="90" w:type="dxa"/>
              <w:start w:w="90" w:type="dxa"/>
              <w:bottom w:w="90" w:type="dxa"/>
              <w:end w:w="90" w:type="dxa"/>
            </w:tcMar>
            <w:vAlign w:val="top"/>
          </w:tcPr>
          <w:p>
            <w:r>
              <w:rPr>
                <w:color w:val="2D2D33"/>
                <w:sz w:val="16"/>
              </w:rPr>
              <w:t>Transitions</w:t>
            </w:r>
          </w:p>
        </w:tc>
        <w:tc>
          <w:tcPr>
            <w:tcW w:type="dxa" w:w="7848"/>
            <w:shd w:fill="F8F8F9"/>
            <w:tcMar>
              <w:top w:w="90" w:type="dxa"/>
              <w:start w:w="90" w:type="dxa"/>
              <w:bottom w:w="90" w:type="dxa"/>
              <w:end w:w="90" w:type="dxa"/>
            </w:tcMar>
            <w:vAlign w:val="top"/>
          </w:tcPr>
          <w:p>
            <w:r>
              <w:rPr>
                <w:color w:val="2D2D33"/>
                <w:sz w:val="16"/>
              </w:rPr>
              <w:t>Instructions are concise; movement, equipment and changes of task are managed through established routines.</w:t>
            </w:r>
          </w:p>
        </w:tc>
      </w:tr>
      <w:tr>
        <w:trPr>
          <w:cantSplit/>
        </w:trPr>
        <w:tc>
          <w:tcPr>
            <w:tcW w:type="dxa" w:w="2376"/>
            <w:shd w:fill="FFFFFF"/>
            <w:tcMar>
              <w:top w:w="90" w:type="dxa"/>
              <w:start w:w="90" w:type="dxa"/>
              <w:bottom w:w="90" w:type="dxa"/>
              <w:end w:w="90" w:type="dxa"/>
            </w:tcMar>
            <w:vAlign w:val="top"/>
          </w:tcPr>
          <w:p>
            <w:r>
              <w:rPr>
                <w:color w:val="2D2D33"/>
                <w:sz w:val="16"/>
              </w:rPr>
              <w:t>Fresh starts</w:t>
            </w:r>
          </w:p>
        </w:tc>
        <w:tc>
          <w:tcPr>
            <w:tcW w:type="dxa" w:w="7848"/>
            <w:shd w:fill="FFFFFF"/>
            <w:tcMar>
              <w:top w:w="90" w:type="dxa"/>
              <w:start w:w="90" w:type="dxa"/>
              <w:bottom w:w="90" w:type="dxa"/>
              <w:end w:w="90" w:type="dxa"/>
            </w:tcMar>
            <w:vAlign w:val="top"/>
          </w:tcPr>
          <w:p>
            <w:r>
              <w:rPr>
                <w:color w:val="2D2D33"/>
                <w:sz w:val="16"/>
              </w:rPr>
              <w:t>Previous incidents are dealt with appropriately and do not automatically carry into the next lesson.</w:t>
            </w:r>
          </w:p>
        </w:tc>
      </w:tr>
      <w:tr>
        <w:trPr>
          <w:cantSplit/>
        </w:trPr>
        <w:tc>
          <w:tcPr>
            <w:tcW w:type="dxa" w:w="2376"/>
            <w:shd w:fill="F8F8F9"/>
            <w:tcMar>
              <w:top w:w="90" w:type="dxa"/>
              <w:start w:w="90" w:type="dxa"/>
              <w:bottom w:w="90" w:type="dxa"/>
              <w:end w:w="90" w:type="dxa"/>
            </w:tcMar>
            <w:vAlign w:val="top"/>
          </w:tcPr>
          <w:p>
            <w:r>
              <w:rPr>
                <w:color w:val="2D2D33"/>
                <w:sz w:val="16"/>
              </w:rPr>
              <w:t>End of lesson</w:t>
            </w:r>
          </w:p>
        </w:tc>
        <w:tc>
          <w:tcPr>
            <w:tcW w:type="dxa" w:w="7848"/>
            <w:shd w:fill="F8F8F9"/>
            <w:tcMar>
              <w:top w:w="90" w:type="dxa"/>
              <w:start w:w="90" w:type="dxa"/>
              <w:bottom w:w="90" w:type="dxa"/>
              <w:end w:w="90" w:type="dxa"/>
            </w:tcMar>
            <w:vAlign w:val="top"/>
          </w:tcPr>
          <w:p>
            <w:r>
              <w:rPr>
                <w:color w:val="2D2D33"/>
                <w:sz w:val="16"/>
              </w:rPr>
              <w:t>Learning is checked or consolidated where appropriate; the room is reset; pupils leave calmly and positively.</w:t>
            </w:r>
          </w:p>
        </w:tc>
      </w:tr>
    </w:tbl>
    <w:p>
      <w:pPr>
        <w:pStyle w:val="Heading1"/>
        <w:pBdr>
          <w:bottom w:val="single" w:sz="8" w:space="3" w:color="76B82A"/>
        </w:pBdr>
      </w:pPr>
      <w:r>
        <w:t>8. Quality Assurance</w:t>
      </w:r>
    </w:p>
    <w:p>
      <w:r>
        <w:t>Quality assurance focuses on whether the intended curriculum is being taught effectively and whether pupils are learning what was intended. No single activity is used in isolation. Leaders build a picture over time from multiple sources of evidence.</w:t>
      </w:r>
    </w:p>
    <w:p>
      <w:pPr>
        <w:pStyle w:val="ListBullet"/>
        <w:spacing w:after="40"/>
      </w:pPr>
      <w:r>
        <w:t>Learning walks and lesson observations focused on curriculum implementation, teaching choices and classroom routines.</w:t>
      </w:r>
    </w:p>
    <w:p>
      <w:pPr>
        <w:pStyle w:val="ListBullet"/>
        <w:spacing w:after="40"/>
      </w:pPr>
      <w:r>
        <w:t>Work scrutiny to consider the standard, sequence and development of pupils’ work over time.</w:t>
      </w:r>
    </w:p>
    <w:p>
      <w:pPr>
        <w:pStyle w:val="ListBullet"/>
        <w:spacing w:after="40"/>
      </w:pPr>
      <w:r>
        <w:t>Review of curriculum plans and how classroom practice reflects agreed end points and sequencing.</w:t>
      </w:r>
    </w:p>
    <w:p>
      <w:pPr>
        <w:pStyle w:val="ListBullet"/>
        <w:spacing w:after="40"/>
      </w:pPr>
      <w:r>
        <w:t>Assessment information and analysis of Knowledge Check Points.</w:t>
      </w:r>
    </w:p>
    <w:p>
      <w:pPr>
        <w:pStyle w:val="ListBullet"/>
        <w:spacing w:after="40"/>
      </w:pPr>
      <w:r>
        <w:t>Pupil voice, including pupils’ understanding of what they are learning, what they remember and where their learning is leading.</w:t>
      </w:r>
    </w:p>
    <w:p>
      <w:pPr>
        <w:pStyle w:val="ListBullet"/>
        <w:spacing w:after="40"/>
      </w:pPr>
      <w:r>
        <w:t>Staff and subject leader dialogue.</w:t>
      </w:r>
    </w:p>
    <w:p>
      <w:pPr>
        <w:pStyle w:val="ListBullet"/>
        <w:spacing w:after="40"/>
      </w:pPr>
      <w:r>
        <w:t>Review of the impact of intervention, adaptive teaching, attendance and participation.</w:t>
      </w:r>
    </w:p>
    <w:p>
      <w:r>
        <w:t>Quality assurance should identify strengths, patterns and areas for development and should lead to appropriate support, coaching, professional development or curriculum refinement.</w:t>
      </w:r>
    </w:p>
    <w:p>
      <w:pPr>
        <w:pStyle w:val="Heading1"/>
        <w:pBdr>
          <w:bottom w:val="single" w:sz="8" w:space="3" w:color="76B82A"/>
        </w:pBdr>
      </w:pPr>
      <w:r>
        <w:t>9. Professional Development and Coaching</w:t>
      </w:r>
    </w:p>
    <w:p>
      <w:r>
        <w:t>Professional development supports consistent high-quality teaching across subjects and year groups. Development activity should be connected to curriculum priorities, quality assurance evidence and the needs of staff and pupils.</w:t>
      </w:r>
    </w:p>
    <w:p>
      <w:pPr>
        <w:pStyle w:val="ListBullet"/>
        <w:spacing w:after="40"/>
      </w:pPr>
      <w:r>
        <w:t>Strengthen subject knowledge and understanding of curriculum sequencing.</w:t>
      </w:r>
    </w:p>
    <w:p>
      <w:pPr>
        <w:pStyle w:val="ListBullet"/>
        <w:spacing w:after="40"/>
      </w:pPr>
      <w:r>
        <w:t>Develop expertise in explicit instruction, modelling, guided practice and checking for understanding.</w:t>
      </w:r>
    </w:p>
    <w:p>
      <w:pPr>
        <w:pStyle w:val="ListBullet"/>
        <w:spacing w:after="40"/>
      </w:pPr>
      <w:r>
        <w:t>Improve adaptive and responsive teaching without lowering ambition.</w:t>
      </w:r>
    </w:p>
    <w:p>
      <w:pPr>
        <w:pStyle w:val="ListBullet"/>
        <w:spacing w:after="40"/>
      </w:pPr>
      <w:r>
        <w:t>Strengthen reading, vocabulary and communication across subjects.</w:t>
      </w:r>
    </w:p>
    <w:p>
      <w:pPr>
        <w:pStyle w:val="ListBullet"/>
        <w:spacing w:after="40"/>
      </w:pPr>
      <w:r>
        <w:t>Develop consistent routines and relational practice.</w:t>
      </w:r>
    </w:p>
    <w:p>
      <w:pPr>
        <w:pStyle w:val="ListBullet"/>
        <w:spacing w:after="40"/>
      </w:pPr>
      <w:r>
        <w:t>Use coaching and collaborative professional dialogue to refine classroom practice over time.</w:t>
      </w:r>
    </w:p>
    <w:p>
      <w:pPr>
        <w:pStyle w:val="Heading1"/>
        <w:pBdr>
          <w:bottom w:val="single" w:sz="8" w:space="3" w:color="76B82A"/>
        </w:pBdr>
      </w:pPr>
      <w:r>
        <w:t>10. Roles and Responsibilities</w:t>
      </w:r>
    </w:p>
    <w:p>
      <w:pPr>
        <w:spacing w:after="60"/>
      </w:pPr>
      <w:r>
        <w:rPr>
          <w:b/>
        </w:rPr>
        <w:t xml:space="preserve">Senior leaders: </w:t>
      </w:r>
      <w:r>
        <w:t>Set the teaching and learning vision, ensure alignment with the Curriculum Policy, provide appropriate professional development and evaluate the quality and consistency of implementation.</w:t>
      </w:r>
    </w:p>
    <w:p>
      <w:pPr>
        <w:spacing w:after="60"/>
      </w:pPr>
      <w:r>
        <w:rPr>
          <w:b/>
        </w:rPr>
        <w:t xml:space="preserve">Curriculum and subject leaders: </w:t>
      </w:r>
      <w:r>
        <w:t>Define subject-specific expectations, support teachers with subject knowledge and sequencing, and use multiple sources of evidence to evaluate implementation and impact.</w:t>
      </w:r>
    </w:p>
    <w:p>
      <w:pPr>
        <w:spacing w:after="60"/>
      </w:pPr>
      <w:r>
        <w:rPr>
          <w:b/>
        </w:rPr>
        <w:t xml:space="preserve">Teachers: </w:t>
      </w:r>
      <w:r>
        <w:t>Know and teach the planned curriculum, identify gaps in prior knowledge, make adaptive and responsive teaching decisions, assess learning, provide purposeful feedback and maintain consistent classroom routines.</w:t>
      </w:r>
    </w:p>
    <w:p>
      <w:pPr>
        <w:spacing w:after="60"/>
      </w:pPr>
      <w:r>
        <w:rPr>
          <w:b/>
        </w:rPr>
        <w:t xml:space="preserve">Pastoral and support staff: </w:t>
      </w:r>
      <w:r>
        <w:t>Support access, communication, routines and increasing independence while maintaining a clear connection to the intended learning.</w:t>
      </w:r>
    </w:p>
    <w:p>
      <w:pPr>
        <w:spacing w:after="60"/>
      </w:pPr>
      <w:r>
        <w:rPr>
          <w:b/>
        </w:rPr>
        <w:t xml:space="preserve">Pupils: </w:t>
      </w:r>
      <w:r>
        <w:t>Are supported to understand what they are learning, participate actively, respond to feedback, reflect on progress and become increasingly independent.</w:t>
      </w:r>
    </w:p>
    <w:p>
      <w:pPr>
        <w:pStyle w:val="Heading1"/>
        <w:pBdr>
          <w:bottom w:val="single" w:sz="8" w:space="3" w:color="76B82A"/>
        </w:pBdr>
      </w:pPr>
      <w:r>
        <w:t>11. Monitoring and Review</w:t>
      </w:r>
    </w:p>
    <w:p>
      <w:r>
        <w:t>The Senior Leadership Team will review this framework annually, or earlier where curriculum evaluation, quality assurance evidence, changes to the pupil cohort or academy priorities make this necessary. Review will consider staff and pupil feedback, assessment information, work scrutiny, learning walks, observations, professional development and evidence of pupils’ learning over time.</w:t>
      </w:r>
    </w:p>
    <w:p>
      <w:pPr>
        <w:pStyle w:val="Heading1"/>
        <w:pBdr>
          <w:bottom w:val="single" w:sz="8" w:space="3" w:color="76B82A"/>
        </w:pBdr>
      </w:pPr>
      <w:r>
        <w:t>12. Policy Approval</w:t>
      </w:r>
    </w:p>
    <w:p>
      <w:r>
        <w:t>This framework should be approved through the academy’s agreed governance arrangements and reviewed in line with the cycle shown below.</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2448"/>
        <w:gridCol w:w="2448"/>
        <w:gridCol w:w="2448"/>
        <w:gridCol w:w="2448"/>
      </w:tblGrid>
      <w:tr>
        <w:trPr>
          <w:tblHeader w:val="true"/>
          <w:cantSplit/>
        </w:trPr>
        <w:tc>
          <w:tcPr>
            <w:tcW w:type="dxa" w:w="2570"/>
            <w:shd w:fill="2E2A3A"/>
            <w:tcMar>
              <w:top w:w="90" w:type="dxa"/>
              <w:start w:w="90" w:type="dxa"/>
              <w:bottom w:w="90" w:type="dxa"/>
              <w:end w:w="90" w:type="dxa"/>
            </w:tcMar>
            <w:vAlign w:val="center"/>
          </w:tcPr>
          <w:p>
            <w:r>
              <w:rPr>
                <w:b/>
                <w:color w:val="FFFFFF"/>
                <w:sz w:val="17"/>
              </w:rPr>
              <w:t>Approved by</w:t>
            </w:r>
          </w:p>
        </w:tc>
        <w:tc>
          <w:tcPr>
            <w:tcW w:type="dxa" w:w="2570"/>
            <w:shd w:fill="2E2A3A"/>
            <w:tcMar>
              <w:top w:w="90" w:type="dxa"/>
              <w:start w:w="90" w:type="dxa"/>
              <w:bottom w:w="90" w:type="dxa"/>
              <w:end w:w="90" w:type="dxa"/>
            </w:tcMar>
            <w:vAlign w:val="center"/>
          </w:tcPr>
          <w:p>
            <w:r>
              <w:rPr>
                <w:b/>
                <w:color w:val="FFFFFF"/>
                <w:sz w:val="17"/>
              </w:rPr>
              <w:t>Date approved</w:t>
            </w:r>
          </w:p>
        </w:tc>
        <w:tc>
          <w:tcPr>
            <w:tcW w:type="dxa" w:w="2570"/>
            <w:shd w:fill="2E2A3A"/>
            <w:tcMar>
              <w:top w:w="90" w:type="dxa"/>
              <w:start w:w="90" w:type="dxa"/>
              <w:bottom w:w="90" w:type="dxa"/>
              <w:end w:w="90" w:type="dxa"/>
            </w:tcMar>
            <w:vAlign w:val="center"/>
          </w:tcPr>
          <w:p>
            <w:r>
              <w:rPr>
                <w:b/>
                <w:color w:val="FFFFFF"/>
                <w:sz w:val="17"/>
              </w:rPr>
              <w:t>Next review</w:t>
            </w:r>
          </w:p>
        </w:tc>
        <w:tc>
          <w:tcPr>
            <w:tcW w:type="dxa" w:w="2570"/>
            <w:shd w:fill="2E2A3A"/>
            <w:tcMar>
              <w:top w:w="90" w:type="dxa"/>
              <w:start w:w="90" w:type="dxa"/>
              <w:bottom w:w="90" w:type="dxa"/>
              <w:end w:w="90" w:type="dxa"/>
            </w:tcMar>
            <w:vAlign w:val="center"/>
          </w:tcPr>
          <w:p>
            <w:r>
              <w:rPr>
                <w:b/>
                <w:color w:val="FFFFFF"/>
                <w:sz w:val="17"/>
              </w:rPr>
              <w:t>Signed</w:t>
            </w:r>
          </w:p>
        </w:tc>
      </w:tr>
      <w:tr>
        <w:trPr>
          <w:cantSplit/>
        </w:trPr>
        <w:tc>
          <w:tcPr>
            <w:tcW w:type="dxa" w:w="2448"/>
            <w:shd w:fill="FFFFFF"/>
            <w:tcMar>
              <w:top w:w="90" w:type="dxa"/>
              <w:start w:w="90" w:type="dxa"/>
              <w:bottom w:w="90" w:type="dxa"/>
              <w:end w:w="90" w:type="dxa"/>
            </w:tcMar>
            <w:vAlign w:val="top"/>
          </w:tcPr>
          <w:p>
            <w:r>
              <w:rPr>
                <w:color w:val="2D2D33"/>
                <w:sz w:val="17"/>
              </w:rPr>
            </w:r>
          </w:p>
        </w:tc>
        <w:tc>
          <w:tcPr>
            <w:tcW w:type="dxa" w:w="2448"/>
            <w:shd w:fill="FFFFFF"/>
            <w:tcMar>
              <w:top w:w="90" w:type="dxa"/>
              <w:start w:w="90" w:type="dxa"/>
              <w:bottom w:w="90" w:type="dxa"/>
              <w:end w:w="90" w:type="dxa"/>
            </w:tcMar>
            <w:vAlign w:val="top"/>
          </w:tcPr>
          <w:p>
            <w:r>
              <w:rPr>
                <w:color w:val="2D2D33"/>
                <w:sz w:val="17"/>
              </w:rPr>
            </w:r>
          </w:p>
        </w:tc>
        <w:tc>
          <w:tcPr>
            <w:tcW w:type="dxa" w:w="2448"/>
            <w:shd w:fill="FFFFFF"/>
            <w:tcMar>
              <w:top w:w="90" w:type="dxa"/>
              <w:start w:w="90" w:type="dxa"/>
              <w:bottom w:w="90" w:type="dxa"/>
              <w:end w:w="90" w:type="dxa"/>
            </w:tcMar>
            <w:vAlign w:val="top"/>
          </w:tcPr>
          <w:p>
            <w:r>
              <w:rPr>
                <w:color w:val="2D2D33"/>
                <w:sz w:val="17"/>
              </w:rPr>
            </w:r>
          </w:p>
        </w:tc>
        <w:tc>
          <w:tcPr>
            <w:tcW w:type="dxa" w:w="2448"/>
            <w:shd w:fill="FFFFFF"/>
            <w:tcMar>
              <w:top w:w="90" w:type="dxa"/>
              <w:start w:w="90" w:type="dxa"/>
              <w:bottom w:w="90" w:type="dxa"/>
              <w:end w:w="90" w:type="dxa"/>
            </w:tcMar>
            <w:vAlign w:val="top"/>
          </w:tcPr>
          <w:p>
            <w:r>
              <w:rPr>
                <w:color w:val="2D2D33"/>
                <w:sz w:val="17"/>
              </w:rPr>
            </w:r>
          </w:p>
        </w:tc>
      </w:tr>
    </w:tbl>
    <w:p>
      <w:pPr>
        <w:pStyle w:val="Heading2"/>
      </w:pPr>
      <w:r>
        <w:t>Related Policies and Frameworks</w:t>
      </w:r>
    </w:p>
    <w:p>
      <w:r>
        <w:t>This framework should be read alongside the Curriculum Policy, assessment and feedback arrangements, SEND policy, safeguarding and child protection policy, behaviour policy, literacy and reading arrangements, careers programme and quality assurance procedures.</w:t>
      </w:r>
    </w:p>
    <w:p>
      <w:r>
        <w:br w:type="page"/>
      </w:r>
    </w:p>
    <w:p>
      <w:pPr>
        <w:pStyle w:val="Heading1"/>
        <w:pBdr>
          <w:bottom w:val="single" w:sz="8" w:space="3" w:color="76B82A"/>
        </w:pBdr>
      </w:pPr>
      <w:r>
        <w:t>Appendix A. Teaching and Learning Practice Grid</w:t>
      </w:r>
    </w:p>
    <w:p>
      <w:r>
        <w:t>This grid is a shared reference for professional dialogue, coaching and quality assurance. It is not intended to be used as a checklist in isolation. Evidence should be considered in context and over time.</w:t>
      </w:r>
    </w:p>
    <w:tbl>
      <w:tblPr>
        <w:tblW w:type="auto" w:w="0"/>
        <w:jc w:val="center"/>
        <w:tblLayout w:type="fixed"/>
        <w:tblLook w:firstColumn="1" w:firstRow="1" w:lastColumn="0" w:lastRow="0" w:noHBand="0" w:noVBand="1" w:val="04A0"/>
        <w:tblBorders>
          <w:top w:val="single" w:sz="5" w:space="0" w:color="B7B7BF"/>
          <w:left w:val="single" w:sz="5" w:space="0" w:color="B7B7BF"/>
          <w:bottom w:val="single" w:sz="5" w:space="0" w:color="B7B7BF"/>
          <w:right w:val="single" w:sz="5" w:space="0" w:color="B7B7BF"/>
          <w:insideH w:val="single" w:sz="5" w:space="0" w:color="B7B7BF"/>
          <w:insideV w:val="single" w:sz="5" w:space="0" w:color="B7B7BF"/>
        </w:tblBorders>
      </w:tblPr>
      <w:tblGrid>
        <w:gridCol w:w="2952"/>
        <w:gridCol w:w="7272"/>
      </w:tblGrid>
      <w:tr>
        <w:trPr>
          <w:tblHeader w:val="true"/>
          <w:cantSplit/>
        </w:trPr>
        <w:tc>
          <w:tcPr>
            <w:tcW w:type="dxa" w:w="5141"/>
            <w:shd w:fill="2E2A3A"/>
            <w:tcMar>
              <w:top w:w="90" w:type="dxa"/>
              <w:start w:w="90" w:type="dxa"/>
              <w:bottom w:w="90" w:type="dxa"/>
              <w:end w:w="90" w:type="dxa"/>
            </w:tcMar>
            <w:vAlign w:val="center"/>
          </w:tcPr>
          <w:p>
            <w:r>
              <w:rPr>
                <w:b/>
                <w:color w:val="FFFFFF"/>
                <w:sz w:val="15"/>
              </w:rPr>
              <w:t>Principle</w:t>
            </w:r>
          </w:p>
        </w:tc>
        <w:tc>
          <w:tcPr>
            <w:tcW w:type="dxa" w:w="5141"/>
            <w:shd w:fill="2E2A3A"/>
            <w:tcMar>
              <w:top w:w="90" w:type="dxa"/>
              <w:start w:w="90" w:type="dxa"/>
              <w:bottom w:w="90" w:type="dxa"/>
              <w:end w:w="90" w:type="dxa"/>
            </w:tcMar>
            <w:vAlign w:val="center"/>
          </w:tcPr>
          <w:p>
            <w:r>
              <w:rPr>
                <w:b/>
                <w:color w:val="FFFFFF"/>
                <w:sz w:val="15"/>
              </w:rPr>
              <w:t>What strong practice looks like</w:t>
            </w:r>
          </w:p>
        </w:tc>
      </w:tr>
      <w:tr>
        <w:trPr>
          <w:cantSplit/>
        </w:trPr>
        <w:tc>
          <w:tcPr>
            <w:tcW w:type="dxa" w:w="2952"/>
            <w:shd w:fill="FFFFFF"/>
            <w:tcMar>
              <w:top w:w="90" w:type="dxa"/>
              <w:start w:w="90" w:type="dxa"/>
              <w:bottom w:w="90" w:type="dxa"/>
              <w:end w:w="90" w:type="dxa"/>
            </w:tcMar>
            <w:vAlign w:val="top"/>
          </w:tcPr>
          <w:p>
            <w:r>
              <w:rPr>
                <w:color w:val="2D2D33"/>
                <w:sz w:val="15"/>
              </w:rPr>
              <w:t>Intended learning and curriculum context</w:t>
            </w:r>
          </w:p>
        </w:tc>
        <w:tc>
          <w:tcPr>
            <w:tcW w:type="dxa" w:w="7272"/>
            <w:shd w:fill="FFFFFF"/>
            <w:tcMar>
              <w:top w:w="90" w:type="dxa"/>
              <w:start w:w="90" w:type="dxa"/>
              <w:bottom w:w="90" w:type="dxa"/>
              <w:end w:w="90" w:type="dxa"/>
            </w:tcMar>
            <w:vAlign w:val="top"/>
          </w:tcPr>
          <w:p>
            <w:r>
              <w:rPr>
                <w:color w:val="2D2D33"/>
                <w:sz w:val="15"/>
              </w:rPr>
              <w:t>The teacher is clear about what pupils are intended to learn and how this sits within the wider curriculum sequence. Pupils understand what they are learning, how it connects to prior knowledge and, where appropriate, where the learning is leading.</w:t>
            </w:r>
          </w:p>
        </w:tc>
      </w:tr>
      <w:tr>
        <w:trPr>
          <w:cantSplit/>
        </w:trPr>
        <w:tc>
          <w:tcPr>
            <w:tcW w:type="dxa" w:w="2952"/>
            <w:shd w:fill="F8F8F9"/>
            <w:tcMar>
              <w:top w:w="90" w:type="dxa"/>
              <w:start w:w="90" w:type="dxa"/>
              <w:bottom w:w="90" w:type="dxa"/>
              <w:end w:w="90" w:type="dxa"/>
            </w:tcMar>
            <w:vAlign w:val="top"/>
          </w:tcPr>
          <w:p>
            <w:r>
              <w:rPr>
                <w:color w:val="2D2D33"/>
                <w:sz w:val="15"/>
              </w:rPr>
              <w:t>Knowledge components and sequence</w:t>
            </w:r>
          </w:p>
        </w:tc>
        <w:tc>
          <w:tcPr>
            <w:tcW w:type="dxa" w:w="7272"/>
            <w:shd w:fill="F8F8F9"/>
            <w:tcMar>
              <w:top w:w="90" w:type="dxa"/>
              <w:start w:w="90" w:type="dxa"/>
              <w:bottom w:w="90" w:type="dxa"/>
              <w:end w:w="90" w:type="dxa"/>
            </w:tcMar>
            <w:vAlign w:val="top"/>
          </w:tcPr>
          <w:p>
            <w:r>
              <w:rPr>
                <w:color w:val="2D2D33"/>
                <w:sz w:val="15"/>
              </w:rPr>
              <w:t>Essential knowledge is identified and complex content is broken into manageable components. Teaching follows a coherent sequence and reconnects pupils with important prior knowledge where needed.</w:t>
            </w:r>
          </w:p>
        </w:tc>
      </w:tr>
      <w:tr>
        <w:trPr>
          <w:cantSplit/>
        </w:trPr>
        <w:tc>
          <w:tcPr>
            <w:tcW w:type="dxa" w:w="2952"/>
            <w:shd w:fill="FFFFFF"/>
            <w:tcMar>
              <w:top w:w="90" w:type="dxa"/>
              <w:start w:w="90" w:type="dxa"/>
              <w:bottom w:w="90" w:type="dxa"/>
              <w:end w:w="90" w:type="dxa"/>
            </w:tcMar>
            <w:vAlign w:val="top"/>
          </w:tcPr>
          <w:p>
            <w:r>
              <w:rPr>
                <w:color w:val="2D2D33"/>
                <w:sz w:val="15"/>
              </w:rPr>
              <w:t>Strong start and routines</w:t>
            </w:r>
          </w:p>
        </w:tc>
        <w:tc>
          <w:tcPr>
            <w:tcW w:type="dxa" w:w="7272"/>
            <w:shd w:fill="FFFFFF"/>
            <w:tcMar>
              <w:top w:w="90" w:type="dxa"/>
              <w:start w:w="90" w:type="dxa"/>
              <w:bottom w:w="90" w:type="dxa"/>
              <w:end w:w="90" w:type="dxa"/>
            </w:tcMar>
            <w:vAlign w:val="top"/>
          </w:tcPr>
          <w:p>
            <w:r>
              <w:rPr>
                <w:color w:val="2D2D33"/>
                <w:sz w:val="15"/>
              </w:rPr>
              <w:t>Pupils are welcomed positively, the environment is ready, a purposeful “Do Now” begins learning promptly, and established routines support calm transitions and efficient use of time.</w:t>
            </w:r>
          </w:p>
        </w:tc>
      </w:tr>
      <w:tr>
        <w:trPr>
          <w:cantSplit/>
        </w:trPr>
        <w:tc>
          <w:tcPr>
            <w:tcW w:type="dxa" w:w="2952"/>
            <w:shd w:fill="F8F8F9"/>
            <w:tcMar>
              <w:top w:w="90" w:type="dxa"/>
              <w:start w:w="90" w:type="dxa"/>
              <w:bottom w:w="90" w:type="dxa"/>
              <w:end w:w="90" w:type="dxa"/>
            </w:tcMar>
            <w:vAlign w:val="top"/>
          </w:tcPr>
          <w:p>
            <w:r>
              <w:rPr>
                <w:color w:val="2D2D33"/>
                <w:sz w:val="15"/>
              </w:rPr>
              <w:t>Retrieval and revisiting</w:t>
            </w:r>
          </w:p>
        </w:tc>
        <w:tc>
          <w:tcPr>
            <w:tcW w:type="dxa" w:w="7272"/>
            <w:shd w:fill="F8F8F9"/>
            <w:tcMar>
              <w:top w:w="90" w:type="dxa"/>
              <w:start w:w="90" w:type="dxa"/>
              <w:bottom w:w="90" w:type="dxa"/>
              <w:end w:w="90" w:type="dxa"/>
            </w:tcMar>
            <w:vAlign w:val="top"/>
          </w:tcPr>
          <w:p>
            <w:r>
              <w:rPr>
                <w:color w:val="2D2D33"/>
                <w:sz w:val="15"/>
              </w:rPr>
              <w:t>Pupils regularly retrieve and revisit important knowledge. Retrieval is used to strengthen recall, reveal gaps and connect previous learning to new content.</w:t>
            </w:r>
          </w:p>
        </w:tc>
      </w:tr>
      <w:tr>
        <w:trPr>
          <w:cantSplit/>
        </w:trPr>
        <w:tc>
          <w:tcPr>
            <w:tcW w:type="dxa" w:w="2952"/>
            <w:shd w:fill="FFFFFF"/>
            <w:tcMar>
              <w:top w:w="90" w:type="dxa"/>
              <w:start w:w="90" w:type="dxa"/>
              <w:bottom w:w="90" w:type="dxa"/>
              <w:end w:w="90" w:type="dxa"/>
            </w:tcMar>
            <w:vAlign w:val="top"/>
          </w:tcPr>
          <w:p>
            <w:r>
              <w:rPr>
                <w:color w:val="2D2D33"/>
                <w:sz w:val="15"/>
              </w:rPr>
              <w:t>Explicit instruction and modelling</w:t>
            </w:r>
          </w:p>
        </w:tc>
        <w:tc>
          <w:tcPr>
            <w:tcW w:type="dxa" w:w="7272"/>
            <w:shd w:fill="FFFFFF"/>
            <w:tcMar>
              <w:top w:w="90" w:type="dxa"/>
              <w:start w:w="90" w:type="dxa"/>
              <w:bottom w:w="90" w:type="dxa"/>
              <w:end w:w="90" w:type="dxa"/>
            </w:tcMar>
            <w:vAlign w:val="top"/>
          </w:tcPr>
          <w:p>
            <w:r>
              <w:rPr>
                <w:color w:val="2D2D33"/>
                <w:sz w:val="15"/>
              </w:rPr>
              <w:t>Explanations are clear and precise. Key vocabulary is taught. Teachers model knowledge, thinking and processes effectively before pupils are expected to apply them independently.</w:t>
            </w:r>
          </w:p>
        </w:tc>
      </w:tr>
      <w:tr>
        <w:trPr>
          <w:cantSplit/>
        </w:trPr>
        <w:tc>
          <w:tcPr>
            <w:tcW w:type="dxa" w:w="2952"/>
            <w:shd w:fill="F8F8F9"/>
            <w:tcMar>
              <w:top w:w="90" w:type="dxa"/>
              <w:start w:w="90" w:type="dxa"/>
              <w:bottom w:w="90" w:type="dxa"/>
              <w:end w:w="90" w:type="dxa"/>
            </w:tcMar>
            <w:vAlign w:val="top"/>
          </w:tcPr>
          <w:p>
            <w:r>
              <w:rPr>
                <w:color w:val="2D2D33"/>
                <w:sz w:val="15"/>
              </w:rPr>
              <w:t>Guided practice and scaffolding</w:t>
            </w:r>
          </w:p>
        </w:tc>
        <w:tc>
          <w:tcPr>
            <w:tcW w:type="dxa" w:w="7272"/>
            <w:shd w:fill="F8F8F9"/>
            <w:tcMar>
              <w:top w:w="90" w:type="dxa"/>
              <w:start w:w="90" w:type="dxa"/>
              <w:bottom w:w="90" w:type="dxa"/>
              <w:end w:w="90" w:type="dxa"/>
            </w:tcMar>
            <w:vAlign w:val="top"/>
          </w:tcPr>
          <w:p>
            <w:r>
              <w:rPr>
                <w:color w:val="2D2D33"/>
                <w:sz w:val="15"/>
              </w:rPr>
              <w:t>Guided practice is purposeful, checks for understanding are frequent, and scaffolding enables success while being reduced as pupils become more secure.</w:t>
            </w:r>
          </w:p>
        </w:tc>
      </w:tr>
      <w:tr>
        <w:trPr>
          <w:cantSplit/>
        </w:trPr>
        <w:tc>
          <w:tcPr>
            <w:tcW w:type="dxa" w:w="2952"/>
            <w:shd w:fill="FFFFFF"/>
            <w:tcMar>
              <w:top w:w="90" w:type="dxa"/>
              <w:start w:w="90" w:type="dxa"/>
              <w:bottom w:w="90" w:type="dxa"/>
              <w:end w:w="90" w:type="dxa"/>
            </w:tcMar>
            <w:vAlign w:val="top"/>
          </w:tcPr>
          <w:p>
            <w:r>
              <w:rPr>
                <w:color w:val="2D2D33"/>
                <w:sz w:val="15"/>
              </w:rPr>
              <w:t>Independent and challenging practice</w:t>
            </w:r>
          </w:p>
        </w:tc>
        <w:tc>
          <w:tcPr>
            <w:tcW w:type="dxa" w:w="7272"/>
            <w:shd w:fill="FFFFFF"/>
            <w:tcMar>
              <w:top w:w="90" w:type="dxa"/>
              <w:start w:w="90" w:type="dxa"/>
              <w:bottom w:w="90" w:type="dxa"/>
              <w:end w:w="90" w:type="dxa"/>
            </w:tcMar>
            <w:vAlign w:val="top"/>
          </w:tcPr>
          <w:p>
            <w:r>
              <w:rPr>
                <w:color w:val="2D2D33"/>
                <w:sz w:val="15"/>
              </w:rPr>
              <w:t>Pupils complete purposeful practice that is appropriately challenging and builds fluency, understanding and independence.</w:t>
            </w:r>
          </w:p>
        </w:tc>
      </w:tr>
      <w:tr>
        <w:trPr>
          <w:cantSplit/>
        </w:trPr>
        <w:tc>
          <w:tcPr>
            <w:tcW w:type="dxa" w:w="2952"/>
            <w:shd w:fill="F8F8F9"/>
            <w:tcMar>
              <w:top w:w="90" w:type="dxa"/>
              <w:start w:w="90" w:type="dxa"/>
              <w:bottom w:w="90" w:type="dxa"/>
              <w:end w:w="90" w:type="dxa"/>
            </w:tcMar>
            <w:vAlign w:val="top"/>
          </w:tcPr>
          <w:p>
            <w:r>
              <w:rPr>
                <w:color w:val="2D2D33"/>
                <w:sz w:val="15"/>
              </w:rPr>
              <w:t>Checking for understanding</w:t>
            </w:r>
          </w:p>
        </w:tc>
        <w:tc>
          <w:tcPr>
            <w:tcW w:type="dxa" w:w="7272"/>
            <w:shd w:fill="F8F8F9"/>
            <w:tcMar>
              <w:top w:w="90" w:type="dxa"/>
              <w:start w:w="90" w:type="dxa"/>
              <w:bottom w:w="90" w:type="dxa"/>
              <w:end w:w="90" w:type="dxa"/>
            </w:tcMar>
            <w:vAlign w:val="top"/>
          </w:tcPr>
          <w:p>
            <w:r>
              <w:rPr>
                <w:color w:val="2D2D33"/>
                <w:sz w:val="15"/>
              </w:rPr>
              <w:t>Teachers actively gather evidence from across the class, identify misconceptions promptly and adapt explanation, modelling, practice or pacing in response.</w:t>
            </w:r>
          </w:p>
        </w:tc>
      </w:tr>
      <w:tr>
        <w:trPr>
          <w:cantSplit/>
        </w:trPr>
        <w:tc>
          <w:tcPr>
            <w:tcW w:type="dxa" w:w="2952"/>
            <w:shd w:fill="FFFFFF"/>
            <w:tcMar>
              <w:top w:w="90" w:type="dxa"/>
              <w:start w:w="90" w:type="dxa"/>
              <w:bottom w:w="90" w:type="dxa"/>
              <w:end w:w="90" w:type="dxa"/>
            </w:tcMar>
            <w:vAlign w:val="top"/>
          </w:tcPr>
          <w:p>
            <w:r>
              <w:rPr>
                <w:color w:val="2D2D33"/>
                <w:sz w:val="15"/>
              </w:rPr>
              <w:t>Feedback</w:t>
            </w:r>
          </w:p>
        </w:tc>
        <w:tc>
          <w:tcPr>
            <w:tcW w:type="dxa" w:w="7272"/>
            <w:shd w:fill="FFFFFF"/>
            <w:tcMar>
              <w:top w:w="90" w:type="dxa"/>
              <w:start w:w="90" w:type="dxa"/>
              <w:bottom w:w="90" w:type="dxa"/>
              <w:end w:w="90" w:type="dxa"/>
            </w:tcMar>
            <w:vAlign w:val="top"/>
          </w:tcPr>
          <w:p>
            <w:r>
              <w:rPr>
                <w:color w:val="2D2D33"/>
                <w:sz w:val="15"/>
              </w:rPr>
              <w:t>Feedback leads to improvement in pupils’ knowledge, accuracy or work and is delivered in a form that is useful and manageable.</w:t>
            </w:r>
          </w:p>
        </w:tc>
      </w:tr>
      <w:tr>
        <w:trPr>
          <w:cantSplit/>
        </w:trPr>
        <w:tc>
          <w:tcPr>
            <w:tcW w:type="dxa" w:w="2952"/>
            <w:shd w:fill="F8F8F9"/>
            <w:tcMar>
              <w:top w:w="90" w:type="dxa"/>
              <w:start w:w="90" w:type="dxa"/>
              <w:bottom w:w="90" w:type="dxa"/>
              <w:end w:w="90" w:type="dxa"/>
            </w:tcMar>
            <w:vAlign w:val="top"/>
          </w:tcPr>
          <w:p>
            <w:r>
              <w:rPr>
                <w:color w:val="2D2D33"/>
                <w:sz w:val="15"/>
              </w:rPr>
              <w:t>Reading, vocabulary and communication</w:t>
            </w:r>
          </w:p>
        </w:tc>
        <w:tc>
          <w:tcPr>
            <w:tcW w:type="dxa" w:w="7272"/>
            <w:shd w:fill="F8F8F9"/>
            <w:tcMar>
              <w:top w:w="90" w:type="dxa"/>
              <w:start w:w="90" w:type="dxa"/>
              <w:bottom w:w="90" w:type="dxa"/>
              <w:end w:w="90" w:type="dxa"/>
            </w:tcMar>
            <w:vAlign w:val="top"/>
          </w:tcPr>
          <w:p>
            <w:r>
              <w:rPr>
                <w:color w:val="2D2D33"/>
                <w:sz w:val="15"/>
              </w:rPr>
              <w:t>Subject vocabulary and language are explicitly developed. Pupils read, speak, listen and write in ways that deepen subject learning and increase independence.</w:t>
            </w:r>
          </w:p>
        </w:tc>
      </w:tr>
      <w:tr>
        <w:trPr>
          <w:cantSplit/>
        </w:trPr>
        <w:tc>
          <w:tcPr>
            <w:tcW w:type="dxa" w:w="2952"/>
            <w:shd w:fill="FFFFFF"/>
            <w:tcMar>
              <w:top w:w="90" w:type="dxa"/>
              <w:start w:w="90" w:type="dxa"/>
              <w:bottom w:w="90" w:type="dxa"/>
              <w:end w:w="90" w:type="dxa"/>
            </w:tcMar>
            <w:vAlign w:val="top"/>
          </w:tcPr>
          <w:p>
            <w:r>
              <w:rPr>
                <w:color w:val="2D2D33"/>
                <w:sz w:val="15"/>
              </w:rPr>
              <w:t>Adaptive and responsive teaching</w:t>
            </w:r>
          </w:p>
        </w:tc>
        <w:tc>
          <w:tcPr>
            <w:tcW w:type="dxa" w:w="7272"/>
            <w:shd w:fill="FFFFFF"/>
            <w:tcMar>
              <w:top w:w="90" w:type="dxa"/>
              <w:start w:w="90" w:type="dxa"/>
              <w:bottom w:w="90" w:type="dxa"/>
              <w:end w:w="90" w:type="dxa"/>
            </w:tcMar>
            <w:vAlign w:val="top"/>
          </w:tcPr>
          <w:p>
            <w:r>
              <w:rPr>
                <w:color w:val="2D2D33"/>
                <w:sz w:val="15"/>
              </w:rPr>
              <w:t>Teaching is adjusted in response to identified barriers, prior knowledge and understanding while maintaining important curriculum end points and high expectations.</w:t>
            </w:r>
          </w:p>
        </w:tc>
      </w:tr>
      <w:tr>
        <w:trPr>
          <w:cantSplit/>
        </w:trPr>
        <w:tc>
          <w:tcPr>
            <w:tcW w:type="dxa" w:w="2952"/>
            <w:shd w:fill="F8F8F9"/>
            <w:tcMar>
              <w:top w:w="90" w:type="dxa"/>
              <w:start w:w="90" w:type="dxa"/>
              <w:bottom w:w="90" w:type="dxa"/>
              <w:end w:w="90" w:type="dxa"/>
            </w:tcMar>
            <w:vAlign w:val="top"/>
          </w:tcPr>
          <w:p>
            <w:r>
              <w:rPr>
                <w:color w:val="2D2D33"/>
                <w:sz w:val="15"/>
              </w:rPr>
              <w:t>Positive climate and fresh starts</w:t>
            </w:r>
          </w:p>
        </w:tc>
        <w:tc>
          <w:tcPr>
            <w:tcW w:type="dxa" w:w="7272"/>
            <w:shd w:fill="F8F8F9"/>
            <w:tcMar>
              <w:top w:w="90" w:type="dxa"/>
              <w:start w:w="90" w:type="dxa"/>
              <w:bottom w:w="90" w:type="dxa"/>
              <w:end w:w="90" w:type="dxa"/>
            </w:tcMar>
            <w:vAlign w:val="top"/>
          </w:tcPr>
          <w:p>
            <w:r>
              <w:rPr>
                <w:color w:val="2D2D33"/>
                <w:sz w:val="15"/>
              </w:rPr>
              <w:t>Relationships are warm, calm and respectful. Praise is authentic, boundaries are clear, and every lesson gives pupils a fresh opportunity to engage successfully.</w:t>
            </w:r>
          </w:p>
        </w:tc>
      </w:tr>
      <w:tr>
        <w:trPr>
          <w:cantSplit/>
        </w:trPr>
        <w:tc>
          <w:tcPr>
            <w:tcW w:type="dxa" w:w="2952"/>
            <w:shd w:fill="FFFFFF"/>
            <w:tcMar>
              <w:top w:w="90" w:type="dxa"/>
              <w:start w:w="90" w:type="dxa"/>
              <w:bottom w:w="90" w:type="dxa"/>
              <w:end w:w="90" w:type="dxa"/>
            </w:tcMar>
            <w:vAlign w:val="top"/>
          </w:tcPr>
          <w:p>
            <w:r>
              <w:rPr>
                <w:color w:val="2D2D33"/>
                <w:sz w:val="15"/>
              </w:rPr>
              <w:t>End of lesson and next steps</w:t>
            </w:r>
          </w:p>
        </w:tc>
        <w:tc>
          <w:tcPr>
            <w:tcW w:type="dxa" w:w="7272"/>
            <w:shd w:fill="FFFFFF"/>
            <w:tcMar>
              <w:top w:w="90" w:type="dxa"/>
              <w:start w:w="90" w:type="dxa"/>
              <w:bottom w:w="90" w:type="dxa"/>
              <w:end w:w="90" w:type="dxa"/>
            </w:tcMar>
            <w:vAlign w:val="top"/>
          </w:tcPr>
          <w:p>
            <w:r>
              <w:rPr>
                <w:color w:val="2D2D33"/>
                <w:sz w:val="15"/>
              </w:rPr>
              <w:t>Learning is checked or consolidated where appropriate, misconceptions or next steps are identified, and pupils leave calmly with a clear sense of progress.</w:t>
            </w:r>
          </w:p>
        </w:tc>
      </w:tr>
    </w:tbl>
    <w:p>
      <w:pPr>
        <w:spacing w:before="240"/>
        <w:jc w:val="center"/>
      </w:pPr>
      <w:r>
        <w:rPr>
          <w:b/>
          <w:color w:val="76B82A"/>
          <w:sz w:val="18"/>
        </w:rPr>
        <w:t>I CAN: Inclusion  •  Communication  •  Aspiration  •  Nurture</w:t>
      </w:r>
    </w:p>
    <w:sectPr w:rsidR="00FC693F" w:rsidRPr="0006063C" w:rsidSect="00034616">
      <w:headerReference w:type="default" r:id="rId9"/>
      <w:footerReference w:type="default" r:id="rId10"/>
      <w:pgSz w:w="12240" w:h="15840"/>
      <w:pgMar w:top="893" w:right="979" w:bottom="893" w:left="979" w:header="317" w:footer="36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7D7D82"/>
        <w:sz w:val="15"/>
      </w:rPr>
      <w:t xml:space="preserve">Waterside Academy  |  Teaching and Learning  |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jc w:val="center"/>
      <w:tblLayout w:type="fixed"/>
      <w:tblLook w:firstColumn="1" w:firstRow="1" w:lastColumn="0" w:lastRow="0" w:noHBand="0" w:noVBand="1" w:val="04A0"/>
      <w:tblBorders>
        <w:bottom w:val="single" w:sz="12" w:color="76B82A"/>
      </w:tblBorders>
    </w:tblPr>
    <w:tblGrid>
      <w:gridCol w:w="792"/>
      <w:gridCol w:w="9360"/>
    </w:tblGrid>
    <w:tr>
      <w:tc>
        <w:tcPr>
          <w:tcW w:type="dxa" w:w="792"/>
          <w:tcMar>
            <w:top w:w="0" w:type="dxa"/>
            <w:start w:w="0" w:type="dxa"/>
            <w:bottom w:w="45" w:type="dxa"/>
            <w:end w:w="0" w:type="dxa"/>
          </w:tcMar>
        </w:tcPr>
        <w:p>
          <w:pPr>
            <w:jc w:val="left"/>
          </w:pPr>
          <w:r>
            <w:drawing>
              <wp:inline xmlns:a="http://schemas.openxmlformats.org/drawingml/2006/main" xmlns:pic="http://schemas.openxmlformats.org/drawingml/2006/picture">
                <wp:extent cx="365760" cy="304886"/>
                <wp:docPr id="1" name="Picture 1"/>
                <wp:cNvGraphicFramePr>
                  <a:graphicFrameLocks noChangeAspect="1"/>
                </wp:cNvGraphicFramePr>
                <a:graphic>
                  <a:graphicData uri="http://schemas.openxmlformats.org/drawingml/2006/picture">
                    <pic:pic>
                      <pic:nvPicPr>
                        <pic:cNvPr id="0" name="Waterside_Academy OL (1).png"/>
                        <pic:cNvPicPr/>
                      </pic:nvPicPr>
                      <pic:blipFill>
                        <a:blip r:embed="rId1"/>
                        <a:stretch>
                          <a:fillRect/>
                        </a:stretch>
                      </pic:blipFill>
                      <pic:spPr>
                        <a:xfrm>
                          <a:off x="0" y="0"/>
                          <a:ext cx="365760" cy="304886"/>
                        </a:xfrm>
                        <a:prstGeom prst="rect"/>
                      </pic:spPr>
                    </pic:pic>
                  </a:graphicData>
                </a:graphic>
              </wp:inline>
            </w:drawing>
          </w:r>
        </w:p>
      </w:tc>
      <w:tc>
        <w:tcPr>
          <w:tcW w:type="dxa" w:w="9360"/>
          <w:tcMar>
            <w:top w:w="0" w:type="dxa"/>
            <w:start w:w="0" w:type="dxa"/>
            <w:bottom w:w="45" w:type="dxa"/>
            <w:end w:w="0" w:type="dxa"/>
          </w:tcMar>
        </w:tcPr>
        <w:p>
          <w:pPr>
            <w:jc w:val="right"/>
          </w:pPr>
          <w:r>
            <w:rPr>
              <w:rFonts w:ascii="Arial" w:hAnsi="Arial"/>
              <w:b/>
              <w:color w:val="2E2A3A"/>
              <w:sz w:val="16"/>
            </w:rPr>
            <w:t>TEACHING AND LEARNING</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rial" w:hAnsi="Arial" w:eastAsia="Arial"/>
      <w:color w:val="2D2D33"/>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rial" w:hAnsi="Arial" w:eastAsia="Arial"/>
      <w:b/>
      <w:bCs/>
      <w:color w:val="2E2A3A"/>
      <w:sz w:val="30"/>
      <w:szCs w:val="28"/>
    </w:rPr>
  </w:style>
  <w:style w:type="paragraph" w:styleId="Heading2">
    <w:name w:val="heading 2"/>
    <w:basedOn w:val="Normal"/>
    <w:next w:val="Normal"/>
    <w:link w:val="Heading2Char"/>
    <w:uiPriority w:val="9"/>
    <w:unhideWhenUsed/>
    <w:qFormat/>
    <w:rsid w:val="00FC693F"/>
    <w:pPr>
      <w:keepNext/>
      <w:keepLines/>
      <w:spacing w:before="180" w:after="60"/>
      <w:outlineLvl w:val="1"/>
    </w:pPr>
    <w:rPr>
      <w:rFonts w:asciiTheme="majorHAnsi" w:eastAsiaTheme="majorEastAsia" w:hAnsiTheme="majorHAnsi" w:cstheme="majorBidi" w:ascii="Arial" w:hAnsi="Arial" w:eastAsia="Arial"/>
      <w:b/>
      <w:bCs/>
      <w:color w:val="76B82A"/>
      <w:sz w:val="23"/>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b/>
      <w:bCs/>
      <w:color w:val="2E2A3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before="0"/>
      <w:contextualSpacing/>
    </w:pPr>
    <w:rPr>
      <w:rFonts w:asciiTheme="majorHAnsi" w:eastAsiaTheme="majorEastAsia" w:hAnsiTheme="majorHAnsi" w:cstheme="majorBidi" w:ascii="Arial" w:hAnsi="Arial" w:eastAsia="Arial"/>
      <w:b/>
      <w:color w:val="2E2A3A"/>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llout">
    <w:name w:val="Callout"/>
    <w:pPr>
      <w:spacing w:before="80" w:after="80"/>
    </w:pPr>
    <w:rPr>
      <w:rFonts w:ascii="Arial" w:hAnsi="Arial" w:eastAsia="Arial"/>
      <w:b/>
      <w:color w:val="2E2A3A"/>
      <w:sz w:val="19"/>
    </w:rPr>
  </w:style>
  <w:style w:type="paragraph" w:customStyle="1" w:styleId="Small">
    <w:name w:val="Small"/>
    <w:pPr>
      <w:spacing w:after="60"/>
    </w:pPr>
    <w:rPr>
      <w:rFonts w:ascii="Arial" w:hAnsi="Arial" w:eastAsia="Arial"/>
      <w:color w:val="2D2D33"/>
      <w:sz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320AD38B3ED83499964A6DFB7735FDD" ma:contentTypeVersion="10" ma:contentTypeDescription="Create a new document." ma:contentTypeScope="" ma:versionID="5d116f1f520b5e4dae29f75d6b2aa5e1">
  <xsd:schema xmlns:xsd="http://www.w3.org/2001/XMLSchema" xmlns:xs="http://www.w3.org/2001/XMLSchema" xmlns:p="http://schemas.microsoft.com/office/2006/metadata/properties" xmlns:ns2="d4de19fb-5169-4e45-97f7-bbc79239cac7" xmlns:ns3="0031d4ab-bed2-40b0-a732-bd1e0e386ab2" targetNamespace="http://schemas.microsoft.com/office/2006/metadata/properties" ma:root="true" ma:fieldsID="2a3003656f4a0860740ef774378521a2" ns2:_="" ns3:_="">
    <xsd:import namespace="d4de19fb-5169-4e45-97f7-bbc79239cac7"/>
    <xsd:import namespace="0031d4ab-bed2-40b0-a732-bd1e0e386a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e19fb-5169-4e45-97f7-bbc79239c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4419852-a9c3-4cca-90d3-a1bfe8d288f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31d4ab-bed2-40b0-a732-bd1e0e386ab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ae053b5-e8f0-4c4d-ba5d-3fb79147714e}" ma:internalName="TaxCatchAll" ma:showField="CatchAllData" ma:web="0031d4ab-bed2-40b0-a732-bd1e0e386a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4de19fb-5169-4e45-97f7-bbc79239cac7">
      <Terms xmlns="http://schemas.microsoft.com/office/infopath/2007/PartnerControls"/>
    </lcf76f155ced4ddcb4097134ff3c332f>
    <TaxCatchAll xmlns="0031d4ab-bed2-40b0-a732-bd1e0e386ab2"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41089B4F-4ED5-43B8-BBDE-53C3157C3900}"/>
</file>

<file path=customXml/itemProps3.xml><?xml version="1.0" encoding="utf-8"?>
<ds:datastoreItem xmlns:ds="http://schemas.openxmlformats.org/officeDocument/2006/customXml" ds:itemID="{3CCE823C-13E9-4F86-9BBA-F41CD118D719}"/>
</file>

<file path=customXml/itemProps4.xml><?xml version="1.0" encoding="utf-8"?>
<ds:datastoreItem xmlns:ds="http://schemas.openxmlformats.org/officeDocument/2006/customXml" ds:itemID="{CBD456EB-BAC3-4C19-87DD-A12D5EE41573}"/>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0x0101003320AD38B3ED83499964A6DFB7735FDD</vt:lpwstr>
  </property>
</Properties>
</file>